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54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437255</wp:posOffset>
            </wp:positionH>
            <wp:positionV relativeFrom="paragraph">
              <wp:posOffset>503520</wp:posOffset>
            </wp:positionV>
            <wp:extent cx="892378" cy="77315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92378" cy="77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before="405" w:line="844" w:lineRule="exact"/>
        <w:jc w:val="right"/>
        <w:rPr>
          <w:sz w:val="84"/>
          <w:szCs w:val="84"/>
        </w:rPr>
      </w:pPr>
      <w:r>
        <w:rPr>
          <w:sz w:val="84"/>
          <w:szCs w:val="84"/>
          <w:color w:val="174B8B"/>
          <w:spacing w:val="-84"/>
          <w:position w:val="-7"/>
        </w:rPr>
        <w:t>中国金融稳定报</w:t>
      </w:r>
      <w:r>
        <w:rPr>
          <w:sz w:val="84"/>
          <w:szCs w:val="84"/>
          <w:color w:val="174B8B"/>
          <w:spacing w:val="-52"/>
          <w:position w:val="-7"/>
        </w:rPr>
        <w:t>告</w:t>
      </w:r>
    </w:p>
    <w:p>
      <w:pPr>
        <w:pStyle w:val="BodyText"/>
        <w:ind w:left="2448" w:right="91" w:hanging="5"/>
        <w:spacing w:before="104" w:line="196" w:lineRule="auto"/>
        <w:rPr>
          <w:sz w:val="37"/>
          <w:szCs w:val="37"/>
        </w:rPr>
      </w:pPr>
      <w:r>
        <w:rPr>
          <w:sz w:val="39"/>
          <w:szCs w:val="39"/>
          <w:color w:val="174B8B"/>
          <w:spacing w:val="3"/>
        </w:rPr>
        <w:t>china</w:t>
      </w:r>
      <w:r>
        <w:rPr>
          <w:sz w:val="39"/>
          <w:szCs w:val="39"/>
          <w:color w:val="174B8B"/>
          <w:spacing w:val="91"/>
        </w:rPr>
        <w:t xml:space="preserve"> </w:t>
      </w:r>
      <w:r>
        <w:rPr>
          <w:sz w:val="39"/>
          <w:szCs w:val="39"/>
          <w:color w:val="174B8B"/>
          <w:spacing w:val="3"/>
        </w:rPr>
        <w:t>Financial</w:t>
      </w:r>
      <w:r>
        <w:rPr>
          <w:sz w:val="39"/>
          <w:szCs w:val="39"/>
          <w:color w:val="174B8B"/>
          <w:spacing w:val="81"/>
        </w:rPr>
        <w:t xml:space="preserve"> </w:t>
      </w:r>
      <w:r>
        <w:rPr>
          <w:sz w:val="39"/>
          <w:szCs w:val="39"/>
          <w:color w:val="174B8B"/>
          <w:spacing w:val="3"/>
        </w:rPr>
        <w:t>stability</w:t>
      </w:r>
      <w:r>
        <w:rPr>
          <w:sz w:val="39"/>
          <w:szCs w:val="39"/>
          <w:color w:val="174B8B"/>
          <w:spacing w:val="56"/>
        </w:rPr>
        <w:t xml:space="preserve"> </w:t>
      </w:r>
      <w:r>
        <w:rPr>
          <w:sz w:val="39"/>
          <w:szCs w:val="39"/>
          <w:color w:val="174B8B"/>
          <w:spacing w:val="3"/>
        </w:rPr>
        <w:t>Report</w:t>
      </w:r>
      <w:r>
        <w:rPr>
          <w:sz w:val="39"/>
          <w:szCs w:val="39"/>
          <w:color w:val="174B8B"/>
        </w:rPr>
        <w:t xml:space="preserve"> </w:t>
      </w:r>
      <w:r>
        <w:rPr>
          <w:sz w:val="37"/>
          <w:szCs w:val="37"/>
          <w:color w:val="174B8B"/>
          <w:spacing w:val="242"/>
          <w:w w:val="175"/>
        </w:rPr>
        <w:t>2025</w:t>
      </w:r>
      <w:r>
        <w:rPr>
          <w:sz w:val="37"/>
          <w:szCs w:val="37"/>
          <w:color w:val="174B8B"/>
          <w:spacing w:val="25"/>
        </w:rPr>
        <w:t xml:space="preserve"> </w:t>
      </w:r>
      <w:r>
        <w:rPr>
          <w:sz w:val="37"/>
          <w:szCs w:val="37"/>
          <w:color w:val="174B8B"/>
          <w:spacing w:val="-22"/>
          <w:w w:val="71"/>
        </w:rPr>
        <w:t>中国人民银行金融稳定分析小组</w:t>
      </w:r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firstLine="3156"/>
        <w:spacing w:before="1" w:line="430" w:lineRule="exact"/>
        <w:rPr/>
      </w:pPr>
      <w:r>
        <w:rPr>
          <w:position w:val="-8"/>
        </w:rPr>
        <w:drawing>
          <wp:inline distT="0" distB="0" distL="0" distR="0">
            <wp:extent cx="1823567" cy="273189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23567" cy="27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30" w:lineRule="exact"/>
        <w:sectPr>
          <w:pgSz w:w="11906" w:h="16158"/>
          <w:pgMar w:top="1373" w:right="1642" w:bottom="0" w:left="1785" w:header="0" w:footer="0" w:gutter="0"/>
        </w:sectPr>
        <w:rPr/>
      </w:pPr>
    </w:p>
    <w:p>
      <w:pPr>
        <w:pStyle w:val="BodyText"/>
        <w:spacing w:line="267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-2017909</wp:posOffset>
                </wp:positionH>
                <wp:positionV relativeFrom="paragraph">
                  <wp:posOffset>2405381</wp:posOffset>
                </wp:positionV>
                <wp:extent cx="4222115" cy="186690"/>
                <wp:effectExtent l="0" t="0" r="0" b="0"/>
                <wp:wrapNone/>
                <wp:docPr id="6" name="TextBox 6"/>
                <wp:cNvGraphicFramePr/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 rot="5400000">
                          <a:off x="-2017909" y="2405381"/>
                          <a:ext cx="4222115" cy="186690"/>
                        </a:xfrm>
                        <a:prstGeom prst="rect">
                          <a:avLst/>
                        </a:prstGeom>
                        <a:solidFill>
                          <a:srgbClr val="015C97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94"/>
                              <w:spacing w:before="59" w:line="204" w:lineRule="auto"/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China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Financial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Stability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17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Report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" style="position:absolute;margin-left:-158.891pt;margin-top:189.4pt;mso-position-vertical-relative:text;mso-position-horizontal-relative:text;width:332.45pt;height:14.7pt;z-index:251659264;rotation:90;" fillcolor="#015C97" filled="true" stroked="false" type="#_x0000_t202">
                <v:fill on="tru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94"/>
                        <w:spacing w:before="59" w:line="204" w:lineRule="auto"/>
                        <w:rPr>
                          <w:rFonts w:ascii="DejaVu Sans" w:hAnsi="DejaVu Sans" w:eastAsia="DejaVu Sans" w:cs="DejaVu Sans"/>
                          <w:sz w:val="22"/>
                          <w:szCs w:val="22"/>
                        </w:rPr>
                      </w:pP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China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18"/>
                        </w:rPr>
                        <w:t xml:space="preserve"> 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Financial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Stability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17"/>
                          <w:w w:val="101"/>
                        </w:rPr>
                        <w:t xml:space="preserve"> 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Report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/>
    </w:p>
    <w:p>
      <w:pPr>
        <w:pStyle w:val="BodyText"/>
        <w:ind w:left="1188"/>
        <w:spacing w:before="174" w:line="174" w:lineRule="auto"/>
        <w:rPr>
          <w:sz w:val="36"/>
          <w:szCs w:val="36"/>
        </w:rPr>
      </w:pPr>
      <w:r>
        <w:rPr>
          <w:sz w:val="36"/>
          <w:szCs w:val="36"/>
          <w:color w:val="174B8B"/>
          <w:spacing w:val="-3"/>
        </w:rPr>
        <w:t>中国人民银行金融稳定分析小组</w:t>
      </w:r>
    </w:p>
    <w:p>
      <w:pPr>
        <w:pStyle w:val="BodyText"/>
        <w:spacing w:line="242" w:lineRule="auto"/>
        <w:rPr/>
      </w:pPr>
      <w:r>
        <w:pict>
          <v:shape id="_x0000_s4" style="position:absolute;margin-left:57.51pt;margin-top:5.05603pt;mso-position-vertical-relative:text;mso-position-horizontal-relative:text;width:326pt;height:0.5pt;z-index:251660288;" filled="false" strokecolor="#231F20" strokeweight="0.50pt" coordsize="6520,10" coordorigin="0,0" path="m0,5l6519,5e">
            <v:stroke joinstyle="miter" miterlimit="4"/>
          </v:shape>
        </w:pict>
      </w:r>
      <w:r/>
    </w:p>
    <w:p>
      <w:pPr>
        <w:pStyle w:val="BodyText"/>
        <w:ind w:left="1162"/>
        <w:spacing w:before="154" w:line="171" w:lineRule="auto"/>
        <w:rPr>
          <w:sz w:val="32"/>
          <w:szCs w:val="32"/>
        </w:rPr>
      </w:pPr>
      <w:r>
        <w:rPr>
          <w:sz w:val="32"/>
          <w:szCs w:val="32"/>
          <w:color w:val="231F20"/>
          <w:spacing w:val="-16"/>
        </w:rPr>
        <w:t>组</w:t>
      </w:r>
      <w:r>
        <w:rPr>
          <w:sz w:val="32"/>
          <w:szCs w:val="32"/>
          <w:color w:val="231F20"/>
          <w:spacing w:val="13"/>
        </w:rPr>
        <w:t xml:space="preserve">    </w:t>
      </w:r>
      <w:r>
        <w:rPr>
          <w:sz w:val="32"/>
          <w:szCs w:val="32"/>
          <w:color w:val="231F20"/>
          <w:spacing w:val="-16"/>
        </w:rPr>
        <w:t>长：</w:t>
      </w:r>
      <w:r>
        <w:rPr>
          <w:sz w:val="32"/>
          <w:szCs w:val="32"/>
          <w:color w:val="231F20"/>
          <w:spacing w:val="-30"/>
        </w:rPr>
        <w:t xml:space="preserve"> </w:t>
      </w:r>
      <w:r>
        <w:rPr>
          <w:sz w:val="32"/>
          <w:szCs w:val="32"/>
          <w:color w:val="231F20"/>
          <w:spacing w:val="-16"/>
        </w:rPr>
        <w:t>陆</w:t>
      </w:r>
      <w:r>
        <w:rPr>
          <w:sz w:val="32"/>
          <w:szCs w:val="32"/>
          <w:color w:val="231F20"/>
          <w:spacing w:val="11"/>
        </w:rPr>
        <w:t xml:space="preserve">    </w:t>
      </w:r>
      <w:r>
        <w:rPr>
          <w:sz w:val="32"/>
          <w:szCs w:val="32"/>
          <w:color w:val="231F20"/>
          <w:spacing w:val="-16"/>
        </w:rPr>
        <w:t>磊</w:t>
      </w:r>
    </w:p>
    <w:p>
      <w:pPr>
        <w:pStyle w:val="BodyText"/>
        <w:ind w:left="1151"/>
        <w:spacing w:before="84" w:line="192" w:lineRule="auto"/>
        <w:rPr>
          <w:sz w:val="32"/>
          <w:szCs w:val="32"/>
        </w:rPr>
      </w:pPr>
      <w:r>
        <w:rPr>
          <w:sz w:val="32"/>
          <w:szCs w:val="32"/>
          <w:color w:val="231F20"/>
          <w:spacing w:val="-7"/>
        </w:rPr>
        <w:t>成</w:t>
      </w:r>
      <w:r>
        <w:rPr>
          <w:sz w:val="32"/>
          <w:szCs w:val="32"/>
          <w:color w:val="231F20"/>
          <w:spacing w:val="12"/>
        </w:rPr>
        <w:t xml:space="preserve">    </w:t>
      </w:r>
      <w:r>
        <w:rPr>
          <w:sz w:val="32"/>
          <w:szCs w:val="32"/>
          <w:color w:val="231F20"/>
          <w:spacing w:val="-7"/>
        </w:rPr>
        <w:t>员（以姓氏笔画为序</w:t>
      </w:r>
      <w:r>
        <w:rPr>
          <w:sz w:val="32"/>
          <w:szCs w:val="32"/>
          <w:color w:val="231F20"/>
          <w:spacing w:val="-3"/>
        </w:rPr>
        <w:t>）：</w:t>
      </w:r>
    </w:p>
    <w:p>
      <w:pPr>
        <w:pStyle w:val="BodyText"/>
        <w:ind w:left="2431" w:right="2749" w:firstLine="12"/>
        <w:spacing w:before="50" w:line="219" w:lineRule="auto"/>
        <w:jc w:val="both"/>
        <w:rPr>
          <w:sz w:val="32"/>
          <w:szCs w:val="32"/>
        </w:rPr>
      </w:pPr>
      <w:r>
        <w:rPr>
          <w:sz w:val="32"/>
          <w:szCs w:val="32"/>
          <w:color w:val="231F20"/>
          <w:spacing w:val="-7"/>
        </w:rPr>
        <w:t>王</w:t>
      </w:r>
      <w:r>
        <w:rPr>
          <w:sz w:val="32"/>
          <w:szCs w:val="32"/>
          <w:color w:val="231F20"/>
          <w:spacing w:val="10"/>
        </w:rPr>
        <w:t xml:space="preserve">    </w:t>
      </w:r>
      <w:r>
        <w:rPr>
          <w:sz w:val="32"/>
          <w:szCs w:val="32"/>
          <w:color w:val="231F20"/>
          <w:spacing w:val="-7"/>
        </w:rPr>
        <w:t>信</w:t>
      </w:r>
      <w:r>
        <w:rPr>
          <w:sz w:val="32"/>
          <w:szCs w:val="32"/>
          <w:color w:val="231F20"/>
          <w:spacing w:val="14"/>
        </w:rPr>
        <w:t xml:space="preserve">    </w:t>
      </w:r>
      <w:r>
        <w:rPr>
          <w:sz w:val="32"/>
          <w:szCs w:val="32"/>
          <w:color w:val="231F20"/>
          <w:spacing w:val="-7"/>
        </w:rPr>
        <w:t>刘宏华     闫先东</w:t>
      </w:r>
      <w:r>
        <w:rPr>
          <w:sz w:val="32"/>
          <w:szCs w:val="32"/>
          <w:color w:val="231F20"/>
          <w:spacing w:val="3"/>
        </w:rPr>
        <w:t xml:space="preserve"> </w:t>
      </w:r>
      <w:r>
        <w:rPr>
          <w:sz w:val="32"/>
          <w:szCs w:val="32"/>
          <w:color w:val="231F20"/>
          <w:spacing w:val="-7"/>
        </w:rPr>
        <w:t>严</w:t>
      </w:r>
      <w:r>
        <w:rPr>
          <w:sz w:val="32"/>
          <w:szCs w:val="32"/>
          <w:color w:val="231F20"/>
          <w:spacing w:val="12"/>
        </w:rPr>
        <w:t xml:space="preserve">    </w:t>
      </w:r>
      <w:r>
        <w:rPr>
          <w:sz w:val="32"/>
          <w:szCs w:val="32"/>
          <w:color w:val="231F20"/>
          <w:spacing w:val="-7"/>
        </w:rPr>
        <w:t>芳</w:t>
      </w:r>
      <w:r>
        <w:rPr>
          <w:sz w:val="32"/>
          <w:szCs w:val="32"/>
          <w:color w:val="231F20"/>
          <w:spacing w:val="13"/>
        </w:rPr>
        <w:t xml:space="preserve">    </w:t>
      </w:r>
      <w:r>
        <w:rPr>
          <w:sz w:val="32"/>
          <w:szCs w:val="32"/>
          <w:color w:val="231F20"/>
          <w:spacing w:val="-7"/>
        </w:rPr>
        <w:t>周     宇     周永坤</w:t>
      </w:r>
      <w:r>
        <w:rPr>
          <w:sz w:val="32"/>
          <w:szCs w:val="32"/>
          <w:color w:val="231F20"/>
          <w:spacing w:val="1"/>
        </w:rPr>
        <w:t xml:space="preserve"> </w:t>
      </w:r>
      <w:r>
        <w:rPr>
          <w:sz w:val="32"/>
          <w:szCs w:val="32"/>
          <w:color w:val="231F20"/>
          <w:spacing w:val="-6"/>
        </w:rPr>
        <w:t>孟</w:t>
      </w:r>
      <w:r>
        <w:rPr>
          <w:sz w:val="32"/>
          <w:szCs w:val="32"/>
          <w:color w:val="231F20"/>
          <w:spacing w:val="12"/>
        </w:rPr>
        <w:t xml:space="preserve">    </w:t>
      </w:r>
      <w:r>
        <w:rPr>
          <w:sz w:val="32"/>
          <w:szCs w:val="32"/>
          <w:color w:val="231F20"/>
          <w:spacing w:val="-6"/>
        </w:rPr>
        <w:t>辉     高     飞     彭立峰</w:t>
      </w:r>
      <w:r>
        <w:rPr>
          <w:sz w:val="32"/>
          <w:szCs w:val="32"/>
          <w:color w:val="231F20"/>
          <w:spacing w:val="2"/>
        </w:rPr>
        <w:t xml:space="preserve"> </w:t>
      </w:r>
      <w:r>
        <w:rPr>
          <w:sz w:val="32"/>
          <w:szCs w:val="32"/>
          <w:color w:val="231F20"/>
          <w:spacing w:val="-6"/>
        </w:rPr>
        <w:t>谢</w:t>
      </w:r>
      <w:r>
        <w:rPr>
          <w:sz w:val="32"/>
          <w:szCs w:val="32"/>
          <w:color w:val="231F20"/>
          <w:spacing w:val="12"/>
        </w:rPr>
        <w:t xml:space="preserve">    </w:t>
      </w:r>
      <w:r>
        <w:rPr>
          <w:sz w:val="32"/>
          <w:szCs w:val="32"/>
          <w:color w:val="231F20"/>
          <w:spacing w:val="-6"/>
        </w:rPr>
        <w:t>丹</w:t>
      </w:r>
      <w:r>
        <w:rPr>
          <w:sz w:val="32"/>
          <w:szCs w:val="32"/>
          <w:color w:val="231F20"/>
          <w:spacing w:val="10"/>
        </w:rPr>
        <w:t xml:space="preserve">    </w:t>
      </w:r>
      <w:r>
        <w:rPr>
          <w:sz w:val="32"/>
          <w:szCs w:val="32"/>
          <w:color w:val="231F20"/>
          <w:spacing w:val="-6"/>
        </w:rPr>
        <w:t>谢光启</w:t>
      </w:r>
    </w:p>
    <w:p>
      <w:pPr>
        <w:pStyle w:val="BodyText"/>
        <w:ind w:left="1107"/>
        <w:spacing w:before="326" w:line="207" w:lineRule="auto"/>
        <w:rPr>
          <w:sz w:val="36"/>
          <w:szCs w:val="36"/>
        </w:rPr>
      </w:pPr>
      <w:r>
        <w:pict>
          <v:shape id="_x0000_s6" style="position:absolute;margin-left:57.51pt;margin-top:48.9107pt;mso-position-vertical-relative:text;mso-position-horizontal-relative:text;width:326pt;height:0.5pt;z-index:251661312;" filled="false" strokecolor="#231F20" strokeweight="0.50pt" coordsize="6520,10" coordorigin="0,0" path="m0,5l6519,5e">
            <v:stroke joinstyle="miter" miterlimit="4"/>
          </v:shape>
        </w:pict>
      </w:r>
      <w:r>
        <w:rPr>
          <w:sz w:val="36"/>
          <w:szCs w:val="36"/>
          <w:color w:val="174B8B"/>
          <w:spacing w:val="1"/>
        </w:rPr>
        <w:t>《中国金融稳定报告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color w:val="174B8B"/>
          <w:spacing w:val="1"/>
        </w:rPr>
        <w:t>2025</w:t>
      </w:r>
      <w:r>
        <w:rPr>
          <w:sz w:val="36"/>
          <w:szCs w:val="36"/>
          <w:color w:val="174B8B"/>
          <w:spacing w:val="1"/>
        </w:rPr>
        <w:t>》指导小组</w:t>
      </w:r>
    </w:p>
    <w:p>
      <w:pPr>
        <w:pStyle w:val="BodyText"/>
        <w:ind w:left="2462"/>
        <w:spacing w:before="500" w:line="193" w:lineRule="auto"/>
        <w:rPr>
          <w:sz w:val="32"/>
          <w:szCs w:val="32"/>
        </w:rPr>
      </w:pPr>
      <w:r>
        <w:rPr>
          <w:sz w:val="32"/>
          <w:szCs w:val="32"/>
          <w:color w:val="231F20"/>
          <w:spacing w:val="-9"/>
        </w:rPr>
        <w:t>陆</w:t>
      </w:r>
      <w:r>
        <w:rPr>
          <w:sz w:val="32"/>
          <w:szCs w:val="32"/>
          <w:color w:val="231F20"/>
          <w:spacing w:val="12"/>
        </w:rPr>
        <w:t xml:space="preserve">    </w:t>
      </w:r>
      <w:r>
        <w:rPr>
          <w:sz w:val="32"/>
          <w:szCs w:val="32"/>
          <w:color w:val="231F20"/>
          <w:spacing w:val="-9"/>
        </w:rPr>
        <w:t>磊</w:t>
      </w:r>
      <w:r>
        <w:rPr>
          <w:sz w:val="32"/>
          <w:szCs w:val="32"/>
          <w:color w:val="231F20"/>
          <w:spacing w:val="3"/>
        </w:rPr>
        <w:t xml:space="preserve">     </w:t>
      </w:r>
      <w:r>
        <w:rPr>
          <w:sz w:val="32"/>
          <w:szCs w:val="32"/>
          <w:color w:val="231F20"/>
          <w:spacing w:val="-9"/>
        </w:rPr>
        <w:t>肖远企     李     明     廖</w:t>
      </w:r>
      <w:r>
        <w:rPr>
          <w:sz w:val="32"/>
          <w:szCs w:val="32"/>
          <w:color w:val="231F20"/>
          <w:spacing w:val="11"/>
        </w:rPr>
        <w:t xml:space="preserve">    </w:t>
      </w:r>
      <w:r>
        <w:rPr>
          <w:sz w:val="32"/>
          <w:szCs w:val="32"/>
          <w:color w:val="231F20"/>
          <w:spacing w:val="-9"/>
        </w:rPr>
        <w:t>岷</w:t>
      </w:r>
    </w:p>
    <w:p>
      <w:pPr>
        <w:spacing w:line="193" w:lineRule="auto"/>
        <w:sectPr>
          <w:pgSz w:w="11906" w:h="16158"/>
          <w:pgMar w:top="1373" w:right="1785" w:bottom="0" w:left="1417" w:header="0" w:footer="0" w:gutter="0"/>
        </w:sectPr>
        <w:rPr>
          <w:sz w:val="32"/>
          <w:szCs w:val="32"/>
        </w:rPr>
      </w:pPr>
    </w:p>
    <w:p>
      <w:pPr>
        <w:pStyle w:val="BodyText"/>
        <w:spacing w:before="575" w:line="211" w:lineRule="auto"/>
        <w:rPr>
          <w:sz w:val="36"/>
          <w:szCs w:val="36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column">
                  <wp:posOffset>1611345</wp:posOffset>
                </wp:positionH>
                <wp:positionV relativeFrom="paragraph">
                  <wp:posOffset>4302105</wp:posOffset>
                </wp:positionV>
                <wp:extent cx="7992110" cy="163195"/>
                <wp:effectExtent l="0" t="0" r="0" b="0"/>
                <wp:wrapNone/>
                <wp:docPr id="8" name="TextBox 8"/>
                <wp:cNvGraphicFramePr/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 rot="5400000">
                          <a:off x="1611345" y="4302105"/>
                          <a:ext cx="7992110" cy="163195"/>
                        </a:xfrm>
                        <a:prstGeom prst="rect">
                          <a:avLst/>
                        </a:prstGeom>
                        <a:solidFill>
                          <a:srgbClr val="015C97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94"/>
                              <w:spacing w:before="23" w:line="204" w:lineRule="auto"/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China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Financial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Stability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17"/>
                                <w:w w:val="101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Report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sz w:val="22"/>
                                <w:szCs w:val="22"/>
                                <w:color w:val="FFFFFF"/>
                                <w:spacing w:val="-12"/>
                              </w:rPr>
                              <w:t>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margin-left:126.878pt;margin-top:338.748pt;mso-position-vertical-relative:text;mso-position-horizontal-relative:text;width:629.3pt;height:12.85pt;z-index:251662336;rotation:90;" fillcolor="#015C97" filled="true" stroked="false" type="#_x0000_t202">
                <v:fill on="tru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94"/>
                        <w:spacing w:before="23" w:line="204" w:lineRule="auto"/>
                        <w:rPr>
                          <w:rFonts w:ascii="DejaVu Sans" w:hAnsi="DejaVu Sans" w:eastAsia="DejaVu Sans" w:cs="DejaVu Sans"/>
                          <w:sz w:val="22"/>
                          <w:szCs w:val="22"/>
                        </w:rPr>
                      </w:pP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China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18"/>
                        </w:rPr>
                        <w:t xml:space="preserve"> 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Financial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Stability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17"/>
                          <w:w w:val="101"/>
                        </w:rPr>
                        <w:t xml:space="preserve"> 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Report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rFonts w:ascii="DejaVu Sans" w:hAnsi="DejaVu Sans" w:eastAsia="DejaVu Sans" w:cs="DejaVu Sans"/>
                          <w:sz w:val="22"/>
                          <w:szCs w:val="22"/>
                          <w:color w:val="FFFFFF"/>
                          <w:spacing w:val="-12"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" style="position:absolute;margin-left:2.14012pt;margin-top:61.3665pt;mso-position-vertical-relative:text;mso-position-horizontal-relative:text;width:326pt;height:0.5pt;z-index:251663360;" filled="false" strokecolor="#231F20" strokeweight="0.50pt" coordsize="6520,10" coordorigin="0,0" path="m0,5l6519,5e">
            <v:stroke joinstyle="miter" miterlimit="4"/>
          </v:shape>
        </w:pict>
      </w:r>
      <w:r>
        <w:rPr>
          <w:sz w:val="36"/>
          <w:szCs w:val="36"/>
          <w:color w:val="174B8B"/>
          <w:spacing w:val="2"/>
        </w:rPr>
        <w:t>《中国金融稳定报告</w:t>
      </w:r>
      <w:r>
        <w:rPr>
          <w:rFonts w:ascii="Times New Roman" w:hAnsi="Times New Roman" w:eastAsia="Times New Roman" w:cs="Times New Roman"/>
          <w:sz w:val="36"/>
          <w:szCs w:val="36"/>
          <w:b/>
          <w:bCs/>
          <w:color w:val="174B8B"/>
          <w:spacing w:val="2"/>
        </w:rPr>
        <w:t>2025</w:t>
      </w:r>
      <w:r>
        <w:rPr>
          <w:sz w:val="36"/>
          <w:szCs w:val="36"/>
          <w:color w:val="174B8B"/>
          <w:spacing w:val="2"/>
        </w:rPr>
        <w:t>》编写组</w:t>
      </w:r>
    </w:p>
    <w:p>
      <w:pPr>
        <w:pStyle w:val="BodyText"/>
        <w:ind w:left="51"/>
        <w:spacing w:before="489"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5"/>
        </w:rPr>
        <w:t>总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5"/>
        </w:rPr>
        <w:t>纂：孟</w:t>
      </w:r>
      <w:r>
        <w:rPr>
          <w:sz w:val="24"/>
          <w:szCs w:val="24"/>
          <w:color w:val="231F20"/>
          <w:spacing w:val="8"/>
        </w:rPr>
        <w:t xml:space="preserve">    </w:t>
      </w:r>
      <w:r>
        <w:rPr>
          <w:sz w:val="24"/>
          <w:szCs w:val="24"/>
          <w:color w:val="231F20"/>
          <w:spacing w:val="-5"/>
        </w:rPr>
        <w:t>辉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5"/>
        </w:rPr>
        <w:t>李敏波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5"/>
        </w:rPr>
        <w:t>王靖夫     张甜甜</w:t>
      </w:r>
    </w:p>
    <w:p>
      <w:pPr>
        <w:pStyle w:val="BodyText"/>
        <w:ind w:left="44"/>
        <w:spacing w:line="164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7"/>
        </w:rPr>
        <w:t>统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7"/>
        </w:rPr>
        <w:t>稿：</w:t>
      </w:r>
      <w:r>
        <w:rPr>
          <w:sz w:val="24"/>
          <w:szCs w:val="24"/>
          <w:color w:val="231F20"/>
          <w:spacing w:val="-27"/>
        </w:rPr>
        <w:t xml:space="preserve"> </w:t>
      </w:r>
      <w:r>
        <w:rPr>
          <w:sz w:val="24"/>
          <w:szCs w:val="24"/>
          <w:color w:val="231F20"/>
          <w:spacing w:val="-7"/>
        </w:rPr>
        <w:t>张甜甜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7"/>
        </w:rPr>
        <w:t>王晓青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7"/>
        </w:rPr>
        <w:t>刘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7"/>
        </w:rPr>
        <w:t>通</w:t>
      </w:r>
    </w:p>
    <w:p>
      <w:pPr>
        <w:pStyle w:val="BodyText"/>
        <w:ind w:left="43"/>
        <w:spacing w:before="1" w:line="157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11"/>
        </w:rPr>
        <w:t>执</w:t>
      </w:r>
      <w:r>
        <w:rPr>
          <w:sz w:val="24"/>
          <w:szCs w:val="24"/>
          <w:color w:val="231F20"/>
          <w:spacing w:val="8"/>
        </w:rPr>
        <w:t xml:space="preserve">    </w:t>
      </w:r>
      <w:r>
        <w:rPr>
          <w:sz w:val="24"/>
          <w:szCs w:val="24"/>
          <w:color w:val="231F20"/>
          <w:spacing w:val="-11"/>
        </w:rPr>
        <w:t>笔：</w:t>
      </w:r>
    </w:p>
    <w:p>
      <w:pPr>
        <w:pStyle w:val="BodyText"/>
        <w:ind w:left="1004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5"/>
        </w:rPr>
        <w:t>综</w:t>
      </w:r>
      <w:r>
        <w:rPr>
          <w:sz w:val="24"/>
          <w:szCs w:val="24"/>
          <w:color w:val="231F20"/>
          <w:spacing w:val="8"/>
        </w:rPr>
        <w:t xml:space="preserve">    </w:t>
      </w:r>
      <w:r>
        <w:rPr>
          <w:sz w:val="24"/>
          <w:szCs w:val="24"/>
          <w:color w:val="231F20"/>
          <w:spacing w:val="-5"/>
        </w:rPr>
        <w:t>述：王晓青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5"/>
        </w:rPr>
        <w:t>刘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5"/>
        </w:rPr>
        <w:t>通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5"/>
        </w:rPr>
        <w:t>吴诗涵</w:t>
      </w:r>
    </w:p>
    <w:p>
      <w:pPr>
        <w:pStyle w:val="BodyText"/>
        <w:ind w:left="1004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5"/>
        </w:rPr>
        <w:t>第一章：</w:t>
      </w:r>
      <w:r>
        <w:rPr>
          <w:sz w:val="24"/>
          <w:szCs w:val="24"/>
          <w:color w:val="231F20"/>
          <w:spacing w:val="-16"/>
        </w:rPr>
        <w:t xml:space="preserve"> </w:t>
      </w:r>
      <w:r>
        <w:rPr>
          <w:sz w:val="24"/>
          <w:szCs w:val="24"/>
          <w:color w:val="231F20"/>
          <w:spacing w:val="-5"/>
        </w:rPr>
        <w:t>吴诗涵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5"/>
        </w:rPr>
        <w:t>王开元     陈</w:t>
      </w:r>
      <w:r>
        <w:rPr>
          <w:sz w:val="24"/>
          <w:szCs w:val="24"/>
          <w:color w:val="231F20"/>
          <w:spacing w:val="8"/>
        </w:rPr>
        <w:t xml:space="preserve">    </w:t>
      </w:r>
      <w:r>
        <w:rPr>
          <w:sz w:val="24"/>
          <w:szCs w:val="24"/>
          <w:color w:val="231F20"/>
          <w:spacing w:val="-5"/>
        </w:rPr>
        <w:t>俊</w:t>
      </w:r>
    </w:p>
    <w:p>
      <w:pPr>
        <w:pStyle w:val="BodyText"/>
        <w:ind w:left="1004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1"/>
        </w:rPr>
        <w:t>第二章：储兆林</w:t>
      </w:r>
      <w:r>
        <w:rPr>
          <w:sz w:val="24"/>
          <w:szCs w:val="24"/>
          <w:color w:val="231F20"/>
          <w:spacing w:val="8"/>
        </w:rPr>
        <w:t xml:space="preserve">    </w:t>
      </w:r>
      <w:r>
        <w:rPr>
          <w:sz w:val="24"/>
          <w:szCs w:val="24"/>
          <w:color w:val="231F20"/>
          <w:spacing w:val="-1"/>
        </w:rPr>
        <w:t>赵诗雨</w:t>
      </w:r>
    </w:p>
    <w:p>
      <w:pPr>
        <w:pStyle w:val="BodyText"/>
        <w:ind w:left="1004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7"/>
        </w:rPr>
        <w:t>第三章：</w:t>
      </w:r>
      <w:r>
        <w:rPr>
          <w:sz w:val="24"/>
          <w:szCs w:val="24"/>
          <w:color w:val="231F20"/>
          <w:spacing w:val="-19"/>
        </w:rPr>
        <w:t xml:space="preserve"> </w:t>
      </w:r>
      <w:r>
        <w:rPr>
          <w:sz w:val="24"/>
          <w:szCs w:val="24"/>
          <w:color w:val="231F20"/>
          <w:spacing w:val="-7"/>
        </w:rPr>
        <w:t>陈</w:t>
      </w:r>
      <w:r>
        <w:rPr>
          <w:sz w:val="24"/>
          <w:szCs w:val="24"/>
          <w:color w:val="231F20"/>
          <w:spacing w:val="7"/>
        </w:rPr>
        <w:t xml:space="preserve">    </w:t>
      </w:r>
      <w:r>
        <w:rPr>
          <w:sz w:val="24"/>
          <w:szCs w:val="24"/>
          <w:color w:val="231F20"/>
          <w:spacing w:val="-7"/>
        </w:rPr>
        <w:t>锟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7"/>
        </w:rPr>
        <w:t>刘</w:t>
      </w:r>
      <w:r>
        <w:rPr>
          <w:sz w:val="24"/>
          <w:szCs w:val="24"/>
          <w:color w:val="231F20"/>
          <w:spacing w:val="8"/>
        </w:rPr>
        <w:t xml:space="preserve">    </w:t>
      </w:r>
      <w:r>
        <w:rPr>
          <w:sz w:val="24"/>
          <w:szCs w:val="24"/>
          <w:color w:val="231F20"/>
          <w:spacing w:val="-7"/>
        </w:rPr>
        <w:t>珍</w:t>
      </w:r>
      <w:r>
        <w:rPr>
          <w:sz w:val="24"/>
          <w:szCs w:val="24"/>
          <w:color w:val="231F20"/>
          <w:spacing w:val="12"/>
        </w:rPr>
        <w:t xml:space="preserve">    </w:t>
      </w:r>
      <w:r>
        <w:rPr>
          <w:sz w:val="24"/>
          <w:szCs w:val="24"/>
          <w:color w:val="231F20"/>
          <w:spacing w:val="-7"/>
        </w:rPr>
        <w:t>吴文光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7"/>
        </w:rPr>
        <w:t>李夏炎</w:t>
      </w:r>
    </w:p>
    <w:p>
      <w:pPr>
        <w:pStyle w:val="BodyText"/>
        <w:ind w:left="1991" w:right="1477" w:hanging="987"/>
        <w:spacing w:before="1"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2"/>
        </w:rPr>
        <w:t>第四章：刘    珍     杨     然     杨    玲     廖浩旭   </w:t>
      </w:r>
      <w:r>
        <w:rPr>
          <w:sz w:val="24"/>
          <w:szCs w:val="24"/>
          <w:color w:val="231F20"/>
          <w:spacing w:val="-3"/>
        </w:rPr>
        <w:t xml:space="preserve">  王泽辰     罗永春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-5"/>
        </w:rPr>
        <w:t>陈星茹     陈巧利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5"/>
        </w:rPr>
        <w:t>余书勤</w:t>
      </w:r>
      <w:r>
        <w:rPr>
          <w:sz w:val="24"/>
          <w:szCs w:val="24"/>
          <w:color w:val="231F20"/>
          <w:spacing w:val="8"/>
        </w:rPr>
        <w:t xml:space="preserve">    </w:t>
      </w:r>
      <w:r>
        <w:rPr>
          <w:sz w:val="24"/>
          <w:szCs w:val="24"/>
          <w:color w:val="231F20"/>
          <w:spacing w:val="-5"/>
        </w:rPr>
        <w:t>廖述魁</w:t>
      </w:r>
    </w:p>
    <w:p>
      <w:pPr>
        <w:pStyle w:val="BodyText"/>
        <w:ind w:left="1970" w:right="1477" w:hanging="96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2"/>
        </w:rPr>
        <w:t>第五章：</w:t>
      </w:r>
      <w:r>
        <w:rPr>
          <w:sz w:val="24"/>
          <w:szCs w:val="24"/>
          <w:color w:val="231F20"/>
          <w:spacing w:val="-28"/>
        </w:rPr>
        <w:t xml:space="preserve"> </w:t>
      </w:r>
      <w:r>
        <w:rPr>
          <w:sz w:val="24"/>
          <w:szCs w:val="24"/>
          <w:color w:val="231F20"/>
          <w:spacing w:val="-2"/>
        </w:rPr>
        <w:t>吴诗涵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2"/>
        </w:rPr>
        <w:t>范熙程    徐堂正     刘腾阳     潘    璐     沈凌镁</w:t>
      </w:r>
      <w:r>
        <w:rPr>
          <w:sz w:val="24"/>
          <w:szCs w:val="24"/>
          <w:color w:val="231F20"/>
          <w:spacing w:val="2"/>
        </w:rPr>
        <w:t xml:space="preserve"> </w:t>
      </w:r>
      <w:r>
        <w:rPr>
          <w:sz w:val="24"/>
          <w:szCs w:val="24"/>
          <w:color w:val="231F20"/>
          <w:spacing w:val="-4"/>
        </w:rPr>
        <w:t>杨雨晴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4"/>
        </w:rPr>
        <w:t>马军伟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4"/>
        </w:rPr>
        <w:t>周格旭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4"/>
        </w:rPr>
        <w:t>王    峰     刘     飞     谢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4"/>
        </w:rPr>
        <w:t>华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-5"/>
        </w:rPr>
        <w:t>周泽宇     张     潇     杨     然     刘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5"/>
        </w:rPr>
        <w:t>珂</w:t>
      </w:r>
    </w:p>
    <w:p>
      <w:pPr>
        <w:pStyle w:val="BodyText"/>
        <w:ind w:left="1006"/>
        <w:spacing w:before="1"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9"/>
        </w:rPr>
        <w:t>专栏一 ：李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9"/>
        </w:rPr>
        <w:t>欣</w:t>
      </w:r>
    </w:p>
    <w:p>
      <w:pPr>
        <w:pStyle w:val="BodyText"/>
        <w:ind w:left="100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专栏二：</w:t>
      </w:r>
      <w:r>
        <w:rPr>
          <w:sz w:val="24"/>
          <w:szCs w:val="24"/>
          <w:color w:val="231F20"/>
          <w:spacing w:val="-31"/>
        </w:rPr>
        <w:t xml:space="preserve"> </w:t>
      </w:r>
      <w:r>
        <w:rPr>
          <w:sz w:val="24"/>
          <w:szCs w:val="24"/>
          <w:color w:val="231F20"/>
          <w:spacing w:val="-4"/>
        </w:rPr>
        <w:t>沈昶烨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4"/>
        </w:rPr>
        <w:t>李鑫逸</w:t>
      </w:r>
    </w:p>
    <w:p>
      <w:pPr>
        <w:pStyle w:val="BodyText"/>
        <w:ind w:left="100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1"/>
        </w:rPr>
        <w:t>专栏三：朱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1"/>
        </w:rPr>
        <w:t>林</w:t>
      </w:r>
    </w:p>
    <w:p>
      <w:pPr>
        <w:pStyle w:val="BodyText"/>
        <w:ind w:left="1006"/>
        <w:spacing w:before="1" w:line="163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专栏四：</w:t>
      </w:r>
      <w:r>
        <w:rPr>
          <w:sz w:val="24"/>
          <w:szCs w:val="24"/>
          <w:color w:val="231F20"/>
          <w:spacing w:val="-32"/>
        </w:rPr>
        <w:t xml:space="preserve"> </w:t>
      </w:r>
      <w:r>
        <w:rPr>
          <w:sz w:val="24"/>
          <w:szCs w:val="24"/>
          <w:color w:val="231F20"/>
          <w:spacing w:val="-3"/>
        </w:rPr>
        <w:t>沈晨阳</w:t>
      </w:r>
    </w:p>
    <w:p>
      <w:pPr>
        <w:pStyle w:val="BodyText"/>
        <w:ind w:left="100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专栏五：</w:t>
      </w:r>
      <w:r>
        <w:rPr>
          <w:sz w:val="24"/>
          <w:szCs w:val="24"/>
          <w:color w:val="231F20"/>
          <w:spacing w:val="-25"/>
        </w:rPr>
        <w:t xml:space="preserve"> </w:t>
      </w:r>
      <w:r>
        <w:rPr>
          <w:sz w:val="24"/>
          <w:szCs w:val="24"/>
          <w:color w:val="231F20"/>
          <w:spacing w:val="-4"/>
        </w:rPr>
        <w:t>范熙程</w:t>
      </w:r>
    </w:p>
    <w:p>
      <w:pPr>
        <w:pStyle w:val="BodyText"/>
        <w:ind w:left="1006"/>
        <w:spacing w:line="279" w:lineRule="exact"/>
        <w:rPr>
          <w:sz w:val="24"/>
          <w:szCs w:val="24"/>
        </w:rPr>
      </w:pPr>
      <w:r>
        <w:rPr>
          <w:sz w:val="24"/>
          <w:szCs w:val="24"/>
          <w:color w:val="231F20"/>
          <w:spacing w:val="-1"/>
          <w:position w:val="-1"/>
        </w:rPr>
        <w:t>专栏六：王金明</w:t>
      </w:r>
    </w:p>
    <w:p>
      <w:pPr>
        <w:pStyle w:val="BodyText"/>
        <w:ind w:left="1006"/>
        <w:spacing w:before="2" w:line="174" w:lineRule="auto"/>
        <w:rPr>
          <w:rFonts w:ascii="DejaVu Sans" w:hAnsi="DejaVu Sans" w:eastAsia="DejaVu Sans" w:cs="DejaVu Sans"/>
          <w:sz w:val="13"/>
          <w:szCs w:val="13"/>
        </w:rPr>
      </w:pPr>
      <w:r>
        <w:rPr>
          <w:sz w:val="24"/>
          <w:szCs w:val="24"/>
          <w:color w:val="231F20"/>
          <w:spacing w:val="1"/>
        </w:rPr>
        <w:t>专栏七：金融监管总局人身险司风险处置课题组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"/>
          <w:position w:val="11"/>
        </w:rPr>
        <w:t>①</w:t>
      </w:r>
    </w:p>
    <w:p>
      <w:pPr>
        <w:pStyle w:val="BodyText"/>
        <w:ind w:left="100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1"/>
        </w:rPr>
        <w:t>专栏八：廖述魁</w:t>
      </w:r>
      <w:r>
        <w:rPr>
          <w:sz w:val="24"/>
          <w:szCs w:val="24"/>
          <w:color w:val="231F20"/>
          <w:spacing w:val="7"/>
        </w:rPr>
        <w:t xml:space="preserve">    </w:t>
      </w:r>
      <w:r>
        <w:rPr>
          <w:sz w:val="24"/>
          <w:szCs w:val="24"/>
          <w:color w:val="231F20"/>
          <w:spacing w:val="-1"/>
        </w:rPr>
        <w:t>榻沛生</w:t>
      </w:r>
    </w:p>
    <w:p>
      <w:pPr>
        <w:pStyle w:val="BodyText"/>
        <w:ind w:left="100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1"/>
        </w:rPr>
        <w:t>专栏九：何志为</w:t>
      </w:r>
    </w:p>
    <w:p>
      <w:pPr>
        <w:pStyle w:val="BodyText"/>
        <w:ind w:left="1006"/>
        <w:spacing w:line="284" w:lineRule="exact"/>
        <w:rPr>
          <w:sz w:val="24"/>
          <w:szCs w:val="24"/>
        </w:rPr>
      </w:pPr>
      <w:r>
        <w:rPr>
          <w:sz w:val="24"/>
          <w:szCs w:val="24"/>
          <w:color w:val="231F20"/>
          <w:spacing w:val="-4"/>
          <w:position w:val="-1"/>
        </w:rPr>
        <w:t>专栏十：</w:t>
      </w:r>
      <w:r>
        <w:rPr>
          <w:sz w:val="24"/>
          <w:szCs w:val="24"/>
          <w:color w:val="231F20"/>
          <w:spacing w:val="-31"/>
          <w:position w:val="-1"/>
        </w:rPr>
        <w:t xml:space="preserve"> </w:t>
      </w:r>
      <w:r>
        <w:rPr>
          <w:sz w:val="24"/>
          <w:szCs w:val="24"/>
          <w:color w:val="231F20"/>
          <w:spacing w:val="-4"/>
          <w:position w:val="-1"/>
        </w:rPr>
        <w:t>丁洪涛     田</w:t>
      </w:r>
      <w:r>
        <w:rPr>
          <w:sz w:val="24"/>
          <w:szCs w:val="24"/>
          <w:color w:val="231F20"/>
          <w:spacing w:val="7"/>
          <w:position w:val="-1"/>
        </w:rPr>
        <w:t xml:space="preserve">    </w:t>
      </w:r>
      <w:r>
        <w:rPr>
          <w:sz w:val="24"/>
          <w:szCs w:val="24"/>
          <w:color w:val="231F20"/>
          <w:spacing w:val="-4"/>
          <w:position w:val="-1"/>
        </w:rPr>
        <w:t>甜     张文杰     陈     双</w:t>
      </w:r>
    </w:p>
    <w:p>
      <w:pPr>
        <w:pStyle w:val="BodyText"/>
        <w:ind w:left="1006"/>
        <w:spacing w:line="177" w:lineRule="auto"/>
        <w:rPr>
          <w:rFonts w:ascii="DejaVu Sans" w:hAnsi="DejaVu Sans" w:eastAsia="DejaVu Sans" w:cs="DejaVu Sans"/>
          <w:sz w:val="13"/>
          <w:szCs w:val="13"/>
        </w:rPr>
      </w:pPr>
      <w:r>
        <w:rPr>
          <w:sz w:val="24"/>
          <w:szCs w:val="24"/>
          <w:color w:val="231F20"/>
          <w:spacing w:val="-1"/>
        </w:rPr>
        <w:t>专栏十一：</w:t>
      </w:r>
      <w:r>
        <w:rPr>
          <w:sz w:val="24"/>
          <w:szCs w:val="24"/>
          <w:color w:val="231F20"/>
          <w:spacing w:val="-11"/>
        </w:rPr>
        <w:t xml:space="preserve"> </w:t>
      </w:r>
      <w:r>
        <w:rPr>
          <w:sz w:val="24"/>
          <w:szCs w:val="24"/>
          <w:color w:val="231F20"/>
          <w:spacing w:val="-1"/>
        </w:rPr>
        <w:t>中国证监会中长期资金入市课题组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-1"/>
          <w:position w:val="11"/>
        </w:rPr>
        <w:t>②</w:t>
      </w:r>
    </w:p>
    <w:p>
      <w:pPr>
        <w:pStyle w:val="BodyText"/>
        <w:ind w:left="1006"/>
        <w:spacing w:before="2" w:line="158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专栏十二：</w:t>
      </w:r>
      <w:r>
        <w:rPr>
          <w:sz w:val="24"/>
          <w:szCs w:val="24"/>
          <w:color w:val="231F20"/>
          <w:spacing w:val="-29"/>
        </w:rPr>
        <w:t xml:space="preserve"> </w:t>
      </w:r>
      <w:r>
        <w:rPr>
          <w:sz w:val="24"/>
          <w:szCs w:val="24"/>
          <w:color w:val="231F20"/>
          <w:spacing w:val="-3"/>
        </w:rPr>
        <w:t>关孟杰</w:t>
      </w:r>
    </w:p>
    <w:p>
      <w:pPr>
        <w:pStyle w:val="BodyText"/>
        <w:ind w:left="100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2"/>
        </w:rPr>
        <w:t>专栏十三：余鸿举     罗嗣源     陈星茹     杨    玲</w:t>
      </w:r>
    </w:p>
    <w:p>
      <w:pPr>
        <w:pStyle w:val="BodyText"/>
        <w:ind w:left="100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专题一：魏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3"/>
        </w:rPr>
        <w:t>巍     阮鹏飞</w:t>
      </w:r>
    </w:p>
    <w:p>
      <w:pPr>
        <w:pStyle w:val="BodyText"/>
        <w:ind w:left="100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专题二：</w:t>
      </w:r>
      <w:r>
        <w:rPr>
          <w:sz w:val="24"/>
          <w:szCs w:val="24"/>
          <w:color w:val="231F20"/>
          <w:spacing w:val="-23"/>
        </w:rPr>
        <w:t xml:space="preserve"> </w:t>
      </w:r>
      <w:r>
        <w:rPr>
          <w:sz w:val="24"/>
          <w:szCs w:val="24"/>
          <w:color w:val="231F20"/>
          <w:spacing w:val="-4"/>
        </w:rPr>
        <w:t>阮鹏飞</w:t>
      </w:r>
    </w:p>
    <w:p>
      <w:pPr>
        <w:pStyle w:val="BodyText"/>
        <w:ind w:left="1006"/>
        <w:spacing w:before="1"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2"/>
        </w:rPr>
        <w:t>专题三：胡小璠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2"/>
        </w:rPr>
        <w:t>楼</w:t>
      </w:r>
      <w:r>
        <w:rPr>
          <w:sz w:val="24"/>
          <w:szCs w:val="24"/>
          <w:color w:val="231F20"/>
          <w:spacing w:val="9"/>
        </w:rPr>
        <w:t xml:space="preserve">    </w:t>
      </w:r>
      <w:r>
        <w:rPr>
          <w:sz w:val="24"/>
          <w:szCs w:val="24"/>
          <w:color w:val="231F20"/>
          <w:spacing w:val="-2"/>
        </w:rPr>
        <w:t>丹</w:t>
      </w:r>
    </w:p>
    <w:p>
      <w:pPr>
        <w:pStyle w:val="BodyText"/>
        <w:ind w:left="1006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专题四：刘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4"/>
        </w:rPr>
        <w:t>婕</w:t>
      </w:r>
      <w:r>
        <w:rPr>
          <w:sz w:val="24"/>
          <w:szCs w:val="24"/>
          <w:color w:val="231F20"/>
          <w:spacing w:val="12"/>
        </w:rPr>
        <w:t xml:space="preserve">    </w:t>
      </w:r>
      <w:r>
        <w:rPr>
          <w:sz w:val="24"/>
          <w:szCs w:val="24"/>
          <w:color w:val="231F20"/>
          <w:spacing w:val="-4"/>
        </w:rPr>
        <w:t>张文卓</w:t>
      </w:r>
      <w:r>
        <w:rPr>
          <w:sz w:val="24"/>
          <w:szCs w:val="24"/>
          <w:color w:val="231F20"/>
          <w:spacing w:val="7"/>
        </w:rPr>
        <w:t xml:space="preserve">    </w:t>
      </w:r>
      <w:r>
        <w:rPr>
          <w:sz w:val="24"/>
          <w:szCs w:val="24"/>
          <w:color w:val="231F20"/>
          <w:spacing w:val="-4"/>
        </w:rPr>
        <w:t>祝菁宇</w:t>
      </w:r>
    </w:p>
    <w:p>
      <w:pPr>
        <w:pStyle w:val="BodyText"/>
        <w:ind w:left="1021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附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4"/>
        </w:rPr>
        <w:t>录：</w:t>
      </w:r>
      <w:r>
        <w:rPr>
          <w:sz w:val="24"/>
          <w:szCs w:val="24"/>
          <w:color w:val="231F20"/>
          <w:spacing w:val="-28"/>
        </w:rPr>
        <w:t xml:space="preserve"> </w:t>
      </w:r>
      <w:r>
        <w:rPr>
          <w:sz w:val="24"/>
          <w:szCs w:val="24"/>
          <w:color w:val="231F20"/>
          <w:spacing w:val="-4"/>
        </w:rPr>
        <w:t>吴诗涵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4"/>
        </w:rPr>
        <w:t>卢虹羽</w:t>
      </w:r>
      <w:r>
        <w:rPr>
          <w:sz w:val="24"/>
          <w:szCs w:val="24"/>
          <w:color w:val="231F20"/>
          <w:spacing w:val="11"/>
        </w:rPr>
        <w:t xml:space="preserve">    </w:t>
      </w:r>
      <w:r>
        <w:rPr>
          <w:sz w:val="24"/>
          <w:szCs w:val="24"/>
          <w:color w:val="231F20"/>
          <w:spacing w:val="-4"/>
        </w:rPr>
        <w:t>刘    珍     董     鑫  </w:t>
      </w:r>
      <w:r>
        <w:rPr>
          <w:sz w:val="24"/>
          <w:szCs w:val="24"/>
          <w:color w:val="231F20"/>
          <w:spacing w:val="-5"/>
        </w:rPr>
        <w:t xml:space="preserve">   康学赟     赵朋飞</w:t>
      </w:r>
    </w:p>
    <w:p>
      <w:pPr>
        <w:pStyle w:val="BodyText"/>
        <w:ind w:left="1005"/>
        <w:spacing w:line="16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其他参与写作人员（以姓氏笔画为序</w:t>
      </w:r>
      <w:r>
        <w:rPr>
          <w:sz w:val="24"/>
          <w:szCs w:val="24"/>
          <w:color w:val="231F20"/>
          <w:spacing w:val="1"/>
        </w:rPr>
        <w:t>）：</w:t>
      </w:r>
    </w:p>
    <w:p>
      <w:pPr>
        <w:pStyle w:val="BodyText"/>
        <w:ind w:left="1989" w:right="1477" w:hanging="13"/>
        <w:spacing w:before="3" w:line="178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5"/>
        </w:rPr>
        <w:t>马军伟</w:t>
      </w:r>
      <w:r>
        <w:rPr>
          <w:sz w:val="24"/>
          <w:szCs w:val="24"/>
          <w:color w:val="231F20"/>
          <w:spacing w:val="12"/>
        </w:rPr>
        <w:t xml:space="preserve">    </w:t>
      </w:r>
      <w:r>
        <w:rPr>
          <w:sz w:val="24"/>
          <w:szCs w:val="24"/>
          <w:color w:val="231F20"/>
          <w:spacing w:val="-5"/>
        </w:rPr>
        <w:t>王     亮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5"/>
        </w:rPr>
        <w:t>王大波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5"/>
        </w:rPr>
        <w:t>华奕明     纪宝林</w:t>
      </w:r>
      <w:r>
        <w:rPr>
          <w:sz w:val="24"/>
          <w:szCs w:val="24"/>
          <w:color w:val="231F20"/>
          <w:spacing w:val="8"/>
        </w:rPr>
        <w:t xml:space="preserve">    </w:t>
      </w:r>
      <w:r>
        <w:rPr>
          <w:sz w:val="24"/>
          <w:szCs w:val="24"/>
          <w:color w:val="231F20"/>
          <w:spacing w:val="-5"/>
        </w:rPr>
        <w:t>赵伟欣</w:t>
      </w:r>
      <w:r>
        <w:rPr>
          <w:sz w:val="24"/>
          <w:szCs w:val="24"/>
          <w:color w:val="231F20"/>
          <w:spacing w:val="1"/>
        </w:rPr>
        <w:t xml:space="preserve"> </w:t>
      </w:r>
      <w:r>
        <w:rPr>
          <w:sz w:val="24"/>
          <w:szCs w:val="24"/>
          <w:color w:val="231F20"/>
          <w:spacing w:val="-9"/>
        </w:rPr>
        <w:t>雷梦菲</w:t>
      </w:r>
      <w:r>
        <w:rPr>
          <w:sz w:val="24"/>
          <w:szCs w:val="24"/>
          <w:color w:val="231F20"/>
          <w:spacing w:val="10"/>
        </w:rPr>
        <w:t xml:space="preserve">    </w:t>
      </w:r>
      <w:r>
        <w:rPr>
          <w:sz w:val="24"/>
          <w:szCs w:val="24"/>
          <w:color w:val="231F20"/>
          <w:spacing w:val="-9"/>
        </w:rPr>
        <w:t>潘</w:t>
      </w:r>
      <w:r>
        <w:rPr>
          <w:sz w:val="24"/>
          <w:szCs w:val="24"/>
          <w:color w:val="231F20"/>
          <w:spacing w:val="8"/>
        </w:rPr>
        <w:t xml:space="preserve">    </w:t>
      </w:r>
      <w:r>
        <w:rPr>
          <w:sz w:val="24"/>
          <w:szCs w:val="24"/>
          <w:color w:val="231F20"/>
          <w:spacing w:val="-9"/>
        </w:rPr>
        <w:t>琪</w:t>
      </w:r>
    </w:p>
    <w:p>
      <w:pPr>
        <w:pStyle w:val="BodyText"/>
        <w:spacing w:line="447" w:lineRule="auto"/>
        <w:rPr/>
      </w:pPr>
      <w:r>
        <w:pict>
          <v:shape id="_x0000_s12" style="position:absolute;margin-left:34.0298pt;margin-top:34.5878pt;mso-position-vertical-relative:text;mso-position-horizontal-relative:text;width:90.15pt;height:0.5pt;z-index:251664384;" filled="false" strokecolor="#231F20" strokeweight="0.50pt" coordsize="1803,10" coordorigin="0,0" path="m0,5l1802,5e">
            <v:stroke joinstyle="miter" miterlimit="4"/>
          </v:shape>
        </w:pict>
      </w:r>
      <w:r/>
    </w:p>
    <w:p>
      <w:pPr>
        <w:pStyle w:val="BodyText"/>
        <w:ind w:left="1017"/>
        <w:spacing w:before="77" w:line="178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1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-9"/>
        </w:rPr>
        <w:t xml:space="preserve"> </w:t>
      </w:r>
      <w:r>
        <w:rPr>
          <w:sz w:val="16"/>
          <w:szCs w:val="16"/>
          <w:color w:val="231F20"/>
          <w:spacing w:val="1"/>
        </w:rPr>
        <w:t>课题组成员：杨雨亭</w:t>
      </w:r>
      <w:r>
        <w:rPr>
          <w:sz w:val="16"/>
          <w:szCs w:val="16"/>
          <w:color w:val="231F20"/>
          <w:spacing w:val="5"/>
        </w:rPr>
        <w:t xml:space="preserve">    </w:t>
      </w:r>
      <w:r>
        <w:rPr>
          <w:sz w:val="16"/>
          <w:szCs w:val="16"/>
          <w:color w:val="231F20"/>
          <w:spacing w:val="1"/>
        </w:rPr>
        <w:t>尹</w:t>
      </w:r>
      <w:r>
        <w:rPr>
          <w:sz w:val="16"/>
          <w:szCs w:val="16"/>
          <w:color w:val="231F20"/>
          <w:spacing w:val="8"/>
        </w:rPr>
        <w:t xml:space="preserve">    </w:t>
      </w:r>
      <w:r>
        <w:rPr>
          <w:sz w:val="16"/>
          <w:szCs w:val="16"/>
          <w:color w:val="231F20"/>
          <w:spacing w:val="1"/>
        </w:rPr>
        <w:t>明</w:t>
      </w:r>
    </w:p>
    <w:p>
      <w:pPr>
        <w:pStyle w:val="BodyText"/>
        <w:ind w:left="1017"/>
        <w:spacing w:before="12" w:line="178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</w:rPr>
        <w:t>②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"/>
        </w:rPr>
        <w:t xml:space="preserve"> </w:t>
      </w:r>
      <w:r>
        <w:rPr>
          <w:sz w:val="16"/>
          <w:szCs w:val="16"/>
          <w:color w:val="231F20"/>
        </w:rPr>
        <w:t>课题组成员：申    兵     刘    悦     许春茂</w:t>
      </w:r>
    </w:p>
    <w:p>
      <w:pPr>
        <w:spacing w:line="178" w:lineRule="auto"/>
        <w:sectPr>
          <w:pgSz w:w="11906" w:h="16158"/>
          <w:pgMar w:top="1373" w:right="1453" w:bottom="0" w:left="1492" w:header="0" w:footer="0" w:gutter="0"/>
        </w:sectPr>
        <w:rPr>
          <w:sz w:val="16"/>
          <w:szCs w:val="16"/>
        </w:rPr>
      </w:pPr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spacing w:line="268" w:lineRule="auto"/>
        <w:rPr/>
      </w:pPr>
      <w:r/>
    </w:p>
    <w:p>
      <w:pPr>
        <w:pStyle w:val="BodyText"/>
        <w:ind w:left="1423"/>
        <w:spacing w:before="241" w:line="177" w:lineRule="auto"/>
        <w:rPr>
          <w:sz w:val="50"/>
          <w:szCs w:val="50"/>
        </w:rPr>
      </w:pPr>
      <w:r>
        <w:rPr>
          <w:sz w:val="50"/>
          <w:szCs w:val="50"/>
          <w:color w:val="231F20"/>
          <w:spacing w:val="-9"/>
        </w:rPr>
        <w:t>综</w:t>
      </w:r>
      <w:r>
        <w:rPr>
          <w:sz w:val="50"/>
          <w:szCs w:val="50"/>
          <w:color w:val="231F20"/>
        </w:rPr>
        <w:t xml:space="preserve">         </w:t>
      </w:r>
      <w:r>
        <w:rPr>
          <w:sz w:val="50"/>
          <w:szCs w:val="50"/>
          <w:color w:val="231F20"/>
          <w:spacing w:val="-9"/>
        </w:rPr>
        <w:t>述</w:t>
      </w:r>
      <w:r>
        <w:rPr>
          <w:sz w:val="50"/>
          <w:szCs w:val="50"/>
          <w:color w:val="231F20"/>
          <w:spacing w:val="5"/>
        </w:rPr>
        <w:t xml:space="preserve">       </w:t>
      </w:r>
      <w:r>
        <w:rPr>
          <w:sz w:val="50"/>
          <w:szCs w:val="50"/>
          <w:strike/>
          <w:color w:val="231F20"/>
        </w:rPr>
        <w:t xml:space="preserve">                                                      </w:t>
      </w:r>
    </w:p>
    <w:p>
      <w:pPr>
        <w:pStyle w:val="BodyText"/>
        <w:spacing w:line="258" w:lineRule="auto"/>
        <w:rPr/>
      </w:pPr>
      <w:r/>
    </w:p>
    <w:p>
      <w:pPr>
        <w:pStyle w:val="BodyText"/>
        <w:spacing w:line="258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ind w:left="1424" w:right="1698" w:firstLine="472"/>
        <w:spacing w:before="116" w:line="234" w:lineRule="auto"/>
        <w:jc w:val="both"/>
        <w:rPr>
          <w:sz w:val="24"/>
          <w:szCs w:val="24"/>
        </w:rPr>
      </w:pPr>
      <w:r>
        <w:rPr>
          <w:sz w:val="24"/>
          <w:szCs w:val="24"/>
          <w:color w:val="231F20"/>
          <w:spacing w:val="3"/>
        </w:rPr>
        <w:t>2024年，面对复杂严峻的外部环境，我国积极</w:t>
      </w:r>
      <w:r>
        <w:rPr>
          <w:sz w:val="24"/>
          <w:szCs w:val="24"/>
          <w:color w:val="231F20"/>
          <w:spacing w:val="2"/>
        </w:rPr>
        <w:t>统筹有效市场和有为政府、总供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4"/>
        </w:rPr>
        <w:t>给和总需求、培育新动能和更新旧动能、做优增量和盘活存量、提升质量</w:t>
      </w:r>
      <w:r>
        <w:rPr>
          <w:sz w:val="24"/>
          <w:szCs w:val="24"/>
          <w:color w:val="231F20"/>
          <w:spacing w:val="3"/>
        </w:rPr>
        <w:t>和做大总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量的关系，顺利完成全年经济社会发展主要目标，</w:t>
      </w:r>
      <w:r>
        <w:rPr>
          <w:sz w:val="24"/>
          <w:szCs w:val="24"/>
          <w:color w:val="231F20"/>
          <w:spacing w:val="-22"/>
        </w:rPr>
        <w:t xml:space="preserve"> </w:t>
      </w:r>
      <w:r>
        <w:rPr>
          <w:sz w:val="24"/>
          <w:szCs w:val="24"/>
          <w:color w:val="231F20"/>
          <w:spacing w:val="3"/>
        </w:rPr>
        <w:t>高质量发展扎实推进，新质生产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1"/>
        </w:rPr>
        <w:t>力稳步发展，经济实力、综合国力持续增强</w:t>
      </w:r>
      <w:r>
        <w:rPr>
          <w:sz w:val="24"/>
          <w:szCs w:val="24"/>
          <w:color w:val="231F20"/>
        </w:rPr>
        <w:t>。国内生产总值（GDP）达到134.9万亿 </w:t>
      </w:r>
      <w:r>
        <w:rPr>
          <w:sz w:val="24"/>
          <w:szCs w:val="24"/>
          <w:color w:val="231F20"/>
          <w:spacing w:val="5"/>
        </w:rPr>
        <w:t>元，同比增长5%，</w:t>
      </w:r>
      <w:r>
        <w:rPr>
          <w:sz w:val="24"/>
          <w:szCs w:val="24"/>
          <w:color w:val="231F20"/>
          <w:spacing w:val="-27"/>
        </w:rPr>
        <w:t xml:space="preserve"> </w:t>
      </w:r>
      <w:r>
        <w:rPr>
          <w:sz w:val="24"/>
          <w:szCs w:val="24"/>
          <w:color w:val="231F20"/>
          <w:spacing w:val="5"/>
        </w:rPr>
        <w:t>就业和物价总体平稳，国际收支基本平衡， 对外贸易规模创历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8"/>
        </w:rPr>
        <w:t>史新高，外汇储备超过3.2万亿美元，重点</w:t>
      </w:r>
      <w:r>
        <w:rPr>
          <w:sz w:val="24"/>
          <w:szCs w:val="24"/>
          <w:color w:val="231F20"/>
          <w:spacing w:val="7"/>
        </w:rPr>
        <w:t>领域风险化解有序有效，社会大局保持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-7"/>
        </w:rPr>
        <w:t>稳定。</w:t>
      </w:r>
    </w:p>
    <w:p>
      <w:pPr>
        <w:pStyle w:val="BodyText"/>
        <w:ind w:left="1421" w:right="1579" w:firstLine="467"/>
        <w:spacing w:before="92" w:line="23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5"/>
        </w:rPr>
        <w:t>金融系统坚持党中央对金融工作的集中统一</w:t>
      </w:r>
      <w:r>
        <w:rPr>
          <w:sz w:val="24"/>
          <w:szCs w:val="24"/>
          <w:color w:val="231F20"/>
          <w:spacing w:val="4"/>
        </w:rPr>
        <w:t>领导，按照党中央、国务院决策部</w:t>
      </w:r>
      <w:r>
        <w:rPr>
          <w:sz w:val="24"/>
          <w:szCs w:val="24"/>
          <w:color w:val="231F20"/>
        </w:rPr>
        <w:t xml:space="preserve">   </w:t>
      </w:r>
      <w:r>
        <w:rPr>
          <w:sz w:val="24"/>
          <w:szCs w:val="24"/>
          <w:color w:val="231F20"/>
          <w:spacing w:val="3"/>
        </w:rPr>
        <w:t>署，坚持稳中求进工作总基调，</w:t>
      </w:r>
      <w:r>
        <w:rPr>
          <w:sz w:val="24"/>
          <w:szCs w:val="24"/>
          <w:color w:val="231F20"/>
          <w:spacing w:val="-31"/>
        </w:rPr>
        <w:t xml:space="preserve"> </w:t>
      </w:r>
      <w:r>
        <w:rPr>
          <w:sz w:val="24"/>
          <w:szCs w:val="24"/>
          <w:color w:val="231F20"/>
          <w:spacing w:val="3"/>
        </w:rPr>
        <w:t>统筹发展和安全，</w:t>
      </w:r>
      <w:r>
        <w:rPr>
          <w:sz w:val="24"/>
          <w:szCs w:val="24"/>
          <w:color w:val="231F20"/>
          <w:spacing w:val="-29"/>
        </w:rPr>
        <w:t xml:space="preserve"> </w:t>
      </w:r>
      <w:r>
        <w:rPr>
          <w:sz w:val="24"/>
          <w:szCs w:val="24"/>
          <w:color w:val="231F20"/>
          <w:spacing w:val="3"/>
        </w:rPr>
        <w:t>加强</w:t>
      </w:r>
      <w:r>
        <w:rPr>
          <w:sz w:val="24"/>
          <w:szCs w:val="24"/>
          <w:color w:val="231F20"/>
          <w:spacing w:val="2"/>
        </w:rPr>
        <w:t>逆周期调节，积极防范化解</w:t>
      </w:r>
      <w:r>
        <w:rPr>
          <w:sz w:val="24"/>
          <w:szCs w:val="24"/>
          <w:color w:val="231F20"/>
        </w:rPr>
        <w:t xml:space="preserve">   </w:t>
      </w:r>
      <w:r>
        <w:rPr>
          <w:sz w:val="24"/>
          <w:szCs w:val="24"/>
          <w:color w:val="231F20"/>
        </w:rPr>
        <w:t>金融领域风险，有效维护金融稳定与安全。</w:t>
      </w:r>
      <w:r>
        <w:rPr>
          <w:sz w:val="24"/>
          <w:szCs w:val="24"/>
          <w:color w:val="231F20"/>
          <w:spacing w:val="34"/>
        </w:rPr>
        <w:t xml:space="preserve"> </w:t>
      </w:r>
      <w:r>
        <w:rPr>
          <w:sz w:val="24"/>
          <w:szCs w:val="24"/>
          <w:color w:val="231F20"/>
        </w:rPr>
        <w:t>一是加大金融支持实体经济力度。2024   </w:t>
      </w:r>
      <w:r>
        <w:rPr>
          <w:sz w:val="24"/>
          <w:szCs w:val="24"/>
          <w:color w:val="231F20"/>
        </w:rPr>
        <w:t>年两次降低存款准备金率共1个百分点，保持流动性合理充裕。两次下调政策利率共</w:t>
      </w:r>
      <w:r>
        <w:rPr>
          <w:sz w:val="24"/>
          <w:szCs w:val="24"/>
          <w:color w:val="231F20"/>
          <w:spacing w:val="3"/>
        </w:rPr>
        <w:t xml:space="preserve">   </w:t>
      </w:r>
      <w:r>
        <w:rPr>
          <w:sz w:val="24"/>
          <w:szCs w:val="24"/>
          <w:color w:val="231F20"/>
          <w:spacing w:val="1"/>
        </w:rPr>
        <w:t>0.3个百分点，引导存贷款利率和社会综合融资成本</w:t>
      </w:r>
      <w:r>
        <w:rPr>
          <w:sz w:val="24"/>
          <w:szCs w:val="24"/>
          <w:color w:val="231F20"/>
        </w:rPr>
        <w:t>下降。健全科技、绿色、普惠、    </w:t>
      </w:r>
      <w:r>
        <w:rPr>
          <w:sz w:val="24"/>
          <w:szCs w:val="24"/>
          <w:color w:val="231F20"/>
          <w:spacing w:val="4"/>
        </w:rPr>
        <w:t>养老、数字等领域金融支持政策体系，建立金</w:t>
      </w:r>
      <w:r>
        <w:rPr>
          <w:sz w:val="24"/>
          <w:szCs w:val="24"/>
          <w:color w:val="231F20"/>
          <w:spacing w:val="3"/>
        </w:rPr>
        <w:t>融“五篇大文章”总体统计制度。二</w:t>
      </w:r>
      <w:r>
        <w:rPr>
          <w:sz w:val="24"/>
          <w:szCs w:val="24"/>
          <w:color w:val="231F20"/>
        </w:rPr>
        <w:t xml:space="preserve">   </w:t>
      </w:r>
      <w:r>
        <w:rPr>
          <w:sz w:val="24"/>
          <w:szCs w:val="24"/>
          <w:color w:val="231F20"/>
          <w:spacing w:val="4"/>
        </w:rPr>
        <w:t>是积极做好金融支持融资平台债务风险化解工作。推动出台金融支持融资平台债务</w:t>
      </w:r>
      <w:r>
        <w:rPr>
          <w:sz w:val="24"/>
          <w:szCs w:val="24"/>
          <w:color w:val="231F20"/>
        </w:rPr>
        <w:t xml:space="preserve">   </w:t>
      </w:r>
      <w:r>
        <w:rPr>
          <w:sz w:val="24"/>
          <w:szCs w:val="24"/>
          <w:color w:val="231F20"/>
          <w:spacing w:val="4"/>
        </w:rPr>
        <w:t>风险化解系列政策，建立融资平台债务统计监测系统和查询系统，推动融资平台规</w:t>
      </w:r>
      <w:r>
        <w:rPr>
          <w:sz w:val="24"/>
          <w:szCs w:val="24"/>
          <w:color w:val="231F20"/>
        </w:rPr>
        <w:t xml:space="preserve">   </w:t>
      </w:r>
      <w:r>
        <w:rPr>
          <w:sz w:val="24"/>
          <w:szCs w:val="24"/>
          <w:color w:val="231F20"/>
          <w:spacing w:val="3"/>
        </w:rPr>
        <w:t>范有序退出。三是支持房地产市场平稳健康发展。下调房贷最低首付比例，</w:t>
      </w:r>
      <w:r>
        <w:rPr>
          <w:sz w:val="24"/>
          <w:szCs w:val="24"/>
          <w:color w:val="231F20"/>
          <w:spacing w:val="-18"/>
        </w:rPr>
        <w:t xml:space="preserve"> </w:t>
      </w:r>
      <w:r>
        <w:rPr>
          <w:sz w:val="24"/>
          <w:szCs w:val="24"/>
          <w:color w:val="231F20"/>
          <w:spacing w:val="3"/>
        </w:rPr>
        <w:t>取消全</w:t>
      </w:r>
      <w:r>
        <w:rPr>
          <w:sz w:val="24"/>
          <w:szCs w:val="24"/>
          <w:color w:val="231F20"/>
        </w:rPr>
        <w:t xml:space="preserve">   </w:t>
      </w:r>
      <w:r>
        <w:rPr>
          <w:sz w:val="24"/>
          <w:szCs w:val="24"/>
          <w:color w:val="231F20"/>
          <w:spacing w:val="2"/>
        </w:rPr>
        <w:t>国层面房贷利率政策下限，</w:t>
      </w:r>
      <w:r>
        <w:rPr>
          <w:sz w:val="24"/>
          <w:szCs w:val="24"/>
          <w:color w:val="231F20"/>
          <w:spacing w:val="-5"/>
        </w:rPr>
        <w:t xml:space="preserve"> </w:t>
      </w:r>
      <w:r>
        <w:rPr>
          <w:sz w:val="24"/>
          <w:szCs w:val="24"/>
          <w:color w:val="231F20"/>
          <w:spacing w:val="2"/>
        </w:rPr>
        <w:t>下调公积金贷款利率，推动降低存量房贷利率，</w:t>
      </w:r>
      <w:r>
        <w:rPr>
          <w:sz w:val="24"/>
          <w:szCs w:val="24"/>
          <w:color w:val="231F20"/>
          <w:spacing w:val="-31"/>
        </w:rPr>
        <w:t xml:space="preserve"> </w:t>
      </w:r>
      <w:r>
        <w:rPr>
          <w:sz w:val="24"/>
          <w:szCs w:val="24"/>
          <w:color w:val="231F20"/>
          <w:spacing w:val="2"/>
        </w:rPr>
        <w:t>设立保</w:t>
      </w:r>
      <w:r>
        <w:rPr>
          <w:sz w:val="24"/>
          <w:szCs w:val="24"/>
          <w:color w:val="231F20"/>
        </w:rPr>
        <w:t xml:space="preserve">   </w:t>
      </w:r>
      <w:r>
        <w:rPr>
          <w:sz w:val="24"/>
          <w:szCs w:val="24"/>
          <w:color w:val="231F20"/>
          <w:spacing w:val="3"/>
        </w:rPr>
        <w:t>障性住房再贷款，健全住房租赁金融政策体系，推动加快构建房地产发展新模式。</w:t>
      </w:r>
      <w:r>
        <w:rPr>
          <w:sz w:val="24"/>
          <w:szCs w:val="24"/>
          <w:color w:val="231F20"/>
          <w:spacing w:val="5"/>
        </w:rPr>
        <w:t xml:space="preserve">   </w:t>
      </w:r>
      <w:r>
        <w:rPr>
          <w:sz w:val="24"/>
          <w:szCs w:val="24"/>
          <w:color w:val="231F20"/>
          <w:spacing w:val="4"/>
        </w:rPr>
        <w:t>四是进一步拓展中央银行维护金融市场稳定职能。基于市场化原</w:t>
      </w:r>
      <w:r>
        <w:rPr>
          <w:sz w:val="24"/>
          <w:szCs w:val="24"/>
          <w:color w:val="231F20"/>
          <w:spacing w:val="3"/>
        </w:rPr>
        <w:t>则，创设证券、基</w:t>
      </w:r>
      <w:r>
        <w:rPr>
          <w:sz w:val="24"/>
          <w:szCs w:val="24"/>
          <w:color w:val="231F20"/>
        </w:rPr>
        <w:t xml:space="preserve">   </w:t>
      </w:r>
      <w:r>
        <w:rPr>
          <w:sz w:val="24"/>
          <w:szCs w:val="24"/>
          <w:color w:val="231F20"/>
          <w:spacing w:val="3"/>
        </w:rPr>
        <w:t>金、保险公司互换便利和股票回购增持再贷款两项工具，支持资本市场稳健发展。</w:t>
      </w:r>
      <w:r>
        <w:rPr>
          <w:sz w:val="24"/>
          <w:szCs w:val="24"/>
          <w:color w:val="231F20"/>
          <w:spacing w:val="5"/>
        </w:rPr>
        <w:t xml:space="preserve">   </w:t>
      </w:r>
      <w:r>
        <w:rPr>
          <w:sz w:val="24"/>
          <w:szCs w:val="24"/>
          <w:color w:val="231F20"/>
          <w:spacing w:val="7"/>
        </w:rPr>
        <w:t>完善外汇市场“宏观审慎+微观监管”两位一体管理框架，有效维护外汇市场稳健</w:t>
      </w:r>
      <w:r>
        <w:rPr>
          <w:sz w:val="24"/>
          <w:szCs w:val="24"/>
          <w:color w:val="231F20"/>
        </w:rPr>
        <w:t xml:space="preserve">   </w:t>
      </w:r>
      <w:r>
        <w:rPr>
          <w:sz w:val="24"/>
          <w:szCs w:val="24"/>
          <w:color w:val="231F20"/>
          <w:spacing w:val="7"/>
        </w:rPr>
        <w:t>运行。五是稳步推进重点机构和重点区域风险处置。央地协同配合，“一省一策”</w:t>
      </w:r>
      <w:r>
        <w:rPr>
          <w:sz w:val="24"/>
          <w:szCs w:val="24"/>
          <w:color w:val="231F20"/>
          <w:spacing w:val="11"/>
        </w:rPr>
        <w:t xml:space="preserve"> </w:t>
      </w:r>
      <w:r>
        <w:rPr>
          <w:sz w:val="24"/>
          <w:szCs w:val="24"/>
          <w:color w:val="231F20"/>
          <w:spacing w:val="3"/>
        </w:rPr>
        <w:t>有序推进地方中小金融机构改革化险工作，</w:t>
      </w:r>
      <w:r>
        <w:rPr>
          <w:sz w:val="24"/>
          <w:szCs w:val="24"/>
          <w:color w:val="231F20"/>
          <w:spacing w:val="-31"/>
        </w:rPr>
        <w:t xml:space="preserve"> </w:t>
      </w:r>
      <w:r>
        <w:rPr>
          <w:sz w:val="24"/>
          <w:szCs w:val="24"/>
          <w:color w:val="231F20"/>
          <w:spacing w:val="3"/>
        </w:rPr>
        <w:t>按照市场化、</w:t>
      </w:r>
      <w:r>
        <w:rPr>
          <w:sz w:val="24"/>
          <w:szCs w:val="24"/>
          <w:color w:val="231F20"/>
          <w:spacing w:val="2"/>
        </w:rPr>
        <w:t>法治化原则，</w:t>
      </w:r>
      <w:r>
        <w:rPr>
          <w:sz w:val="24"/>
          <w:szCs w:val="24"/>
          <w:color w:val="231F20"/>
          <w:spacing w:val="-30"/>
        </w:rPr>
        <w:t xml:space="preserve"> </w:t>
      </w:r>
      <w:r>
        <w:rPr>
          <w:sz w:val="24"/>
          <w:szCs w:val="24"/>
          <w:color w:val="231F20"/>
          <w:spacing w:val="2"/>
        </w:rPr>
        <w:t>综合运用兼</w:t>
      </w:r>
    </w:p>
    <w:p>
      <w:pPr>
        <w:spacing w:line="231" w:lineRule="auto"/>
        <w:sectPr>
          <w:headerReference w:type="default" r:id="rId3"/>
          <w:pgSz w:w="11906" w:h="16158"/>
          <w:pgMar w:top="400" w:right="0" w:bottom="0" w:left="0" w:header="0" w:footer="0" w:gutter="0"/>
        </w:sectPr>
        <w:rPr>
          <w:sz w:val="24"/>
          <w:szCs w:val="24"/>
        </w:rPr>
      </w:pPr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ind w:left="1704" w:right="1415" w:firstLine="10"/>
        <w:spacing w:before="116" w:line="234" w:lineRule="auto"/>
        <w:jc w:val="both"/>
        <w:rPr>
          <w:sz w:val="24"/>
          <w:szCs w:val="24"/>
        </w:rPr>
      </w:pPr>
      <w:r>
        <w:rPr>
          <w:sz w:val="24"/>
          <w:szCs w:val="24"/>
          <w:color w:val="231F20"/>
          <w:spacing w:val="3"/>
        </w:rPr>
        <w:t>并重组、市场退出等多种方式稳妥处置中小银行风险，</w:t>
      </w:r>
      <w:r>
        <w:rPr>
          <w:sz w:val="24"/>
          <w:szCs w:val="24"/>
          <w:color w:val="231F20"/>
          <w:spacing w:val="-29"/>
        </w:rPr>
        <w:t xml:space="preserve"> </w:t>
      </w:r>
      <w:r>
        <w:rPr>
          <w:sz w:val="24"/>
          <w:szCs w:val="24"/>
          <w:color w:val="231F20"/>
          <w:spacing w:val="3"/>
        </w:rPr>
        <w:t>高风险中小银行数量明显压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4"/>
        </w:rPr>
        <w:t>降。六是推进金融稳定保障体系建设。加快推动金融稳定法立法、《中国人民银行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4"/>
        </w:rPr>
        <w:t>法》修订进程。持续强化风险处置资源保障，有序推进存款保险基金保费归集和金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4"/>
        </w:rPr>
        <w:t>融稳定保障基金筹集，推动完善金融稳定保障基金管理规则，更好支持高风险机构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风险化解。当前，</w:t>
      </w:r>
      <w:r>
        <w:rPr>
          <w:sz w:val="24"/>
          <w:szCs w:val="24"/>
          <w:color w:val="231F20"/>
          <w:spacing w:val="-18"/>
        </w:rPr>
        <w:t xml:space="preserve"> </w:t>
      </w:r>
      <w:r>
        <w:rPr>
          <w:sz w:val="24"/>
          <w:szCs w:val="24"/>
          <w:color w:val="231F20"/>
          <w:spacing w:val="3"/>
        </w:rPr>
        <w:t>我国金融业运行总体稳健，金融风险整体收敛、总体可控，金融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-2"/>
        </w:rPr>
        <w:t>机构经营指标和监管指标处于合理区间。</w:t>
      </w:r>
    </w:p>
    <w:p>
      <w:pPr>
        <w:pStyle w:val="BodyText"/>
        <w:ind w:left="1704" w:right="1415" w:firstLine="469"/>
        <w:spacing w:before="89" w:line="231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4"/>
        </w:rPr>
        <w:t>展望未来，“十五五”时期我国发展环境面临深刻复杂变化，我国发展处于战</w:t>
      </w:r>
      <w:r>
        <w:rPr>
          <w:sz w:val="24"/>
          <w:szCs w:val="24"/>
          <w:color w:val="231F20"/>
          <w:spacing w:val="17"/>
          <w:w w:val="101"/>
        </w:rPr>
        <w:t xml:space="preserve"> </w:t>
      </w:r>
      <w:r>
        <w:rPr>
          <w:sz w:val="24"/>
          <w:szCs w:val="24"/>
          <w:color w:val="231F20"/>
          <w:spacing w:val="11"/>
        </w:rPr>
        <w:t>略机遇和风险挑战并存、不确定难预料因素增多的时期。我国经济基础稳</w:t>
      </w:r>
      <w:r>
        <w:rPr>
          <w:sz w:val="24"/>
          <w:szCs w:val="24"/>
          <w:color w:val="231F20"/>
          <w:spacing w:val="10"/>
        </w:rPr>
        <w:t>、优势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多、韧性强、潜能大，</w:t>
      </w:r>
      <w:r>
        <w:rPr>
          <w:sz w:val="24"/>
          <w:szCs w:val="24"/>
          <w:color w:val="231F20"/>
          <w:spacing w:val="-18"/>
        </w:rPr>
        <w:t xml:space="preserve"> </w:t>
      </w:r>
      <w:r>
        <w:rPr>
          <w:sz w:val="24"/>
          <w:szCs w:val="24"/>
          <w:color w:val="231F20"/>
          <w:spacing w:val="3"/>
        </w:rPr>
        <w:t>长期向好的支撑条件和基本趋势没有变，中国特色社会主义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制度优势、超大规模市场优势、完整产业体系优势、丰富人力资源优势更加彰显。</w:t>
      </w:r>
      <w:r>
        <w:rPr>
          <w:sz w:val="24"/>
          <w:szCs w:val="24"/>
          <w:color w:val="231F20"/>
          <w:spacing w:val="15"/>
        </w:rPr>
        <w:t xml:space="preserve"> </w:t>
      </w:r>
      <w:r>
        <w:rPr>
          <w:sz w:val="24"/>
          <w:szCs w:val="24"/>
          <w:color w:val="231F20"/>
          <w:spacing w:val="4"/>
        </w:rPr>
        <w:t>下一步，金融系统将坚持以习近平新时代中国特色社会主义思想为指导，全面贯彻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4"/>
        </w:rPr>
        <w:t>落实党的二十大和二十届历次全会精神，按照中央经济工作会议、中央金融工作会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议部署，统筹国内国际两个大局，</w:t>
      </w:r>
      <w:r>
        <w:rPr>
          <w:sz w:val="24"/>
          <w:szCs w:val="24"/>
          <w:color w:val="231F20"/>
          <w:spacing w:val="-31"/>
        </w:rPr>
        <w:t xml:space="preserve"> </w:t>
      </w:r>
      <w:r>
        <w:rPr>
          <w:sz w:val="24"/>
          <w:szCs w:val="24"/>
          <w:color w:val="231F20"/>
          <w:spacing w:val="3"/>
        </w:rPr>
        <w:t>完整准确全面贯彻新</w:t>
      </w:r>
      <w:r>
        <w:rPr>
          <w:sz w:val="24"/>
          <w:szCs w:val="24"/>
          <w:color w:val="231F20"/>
          <w:spacing w:val="2"/>
        </w:rPr>
        <w:t>发展理念，</w:t>
      </w:r>
      <w:r>
        <w:rPr>
          <w:sz w:val="24"/>
          <w:szCs w:val="24"/>
          <w:color w:val="231F20"/>
          <w:spacing w:val="-29"/>
        </w:rPr>
        <w:t xml:space="preserve"> </w:t>
      </w:r>
      <w:r>
        <w:rPr>
          <w:sz w:val="24"/>
          <w:szCs w:val="24"/>
          <w:color w:val="231F20"/>
          <w:spacing w:val="2"/>
        </w:rPr>
        <w:t>加快构建新发展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2"/>
        </w:rPr>
        <w:t>格局，</w:t>
      </w:r>
      <w:r>
        <w:rPr>
          <w:sz w:val="24"/>
          <w:szCs w:val="24"/>
          <w:color w:val="231F20"/>
          <w:spacing w:val="-27"/>
        </w:rPr>
        <w:t xml:space="preserve"> </w:t>
      </w:r>
      <w:r>
        <w:rPr>
          <w:sz w:val="24"/>
          <w:szCs w:val="24"/>
          <w:color w:val="231F20"/>
          <w:spacing w:val="2"/>
        </w:rPr>
        <w:t>坚持稳中求进工作总基调，</w:t>
      </w:r>
      <w:r>
        <w:rPr>
          <w:sz w:val="24"/>
          <w:szCs w:val="24"/>
          <w:color w:val="231F20"/>
          <w:spacing w:val="-27"/>
        </w:rPr>
        <w:t xml:space="preserve"> </w:t>
      </w:r>
      <w:r>
        <w:rPr>
          <w:sz w:val="24"/>
          <w:szCs w:val="24"/>
          <w:color w:val="231F20"/>
          <w:spacing w:val="2"/>
        </w:rPr>
        <w:t>实施更加积极有为的宏观政策，</w:t>
      </w:r>
      <w:r>
        <w:rPr>
          <w:sz w:val="24"/>
          <w:szCs w:val="24"/>
          <w:color w:val="231F20"/>
          <w:spacing w:val="-29"/>
        </w:rPr>
        <w:t xml:space="preserve"> </w:t>
      </w:r>
      <w:r>
        <w:rPr>
          <w:sz w:val="24"/>
          <w:szCs w:val="24"/>
          <w:color w:val="231F20"/>
          <w:spacing w:val="1"/>
        </w:rPr>
        <w:t>加大逆周期和跨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周期调节力度，</w:t>
      </w:r>
      <w:r>
        <w:rPr>
          <w:sz w:val="24"/>
          <w:szCs w:val="24"/>
          <w:color w:val="231F20"/>
          <w:spacing w:val="-29"/>
        </w:rPr>
        <w:t xml:space="preserve"> </w:t>
      </w:r>
      <w:r>
        <w:rPr>
          <w:sz w:val="24"/>
          <w:szCs w:val="24"/>
          <w:color w:val="231F20"/>
          <w:spacing w:val="3"/>
        </w:rPr>
        <w:t>持续防范化解重点领域风险，</w:t>
      </w:r>
      <w:r>
        <w:rPr>
          <w:sz w:val="24"/>
          <w:szCs w:val="24"/>
          <w:color w:val="231F20"/>
          <w:spacing w:val="-27"/>
        </w:rPr>
        <w:t xml:space="preserve"> </w:t>
      </w:r>
      <w:r>
        <w:rPr>
          <w:sz w:val="24"/>
          <w:szCs w:val="24"/>
          <w:color w:val="231F20"/>
          <w:spacing w:val="2"/>
        </w:rPr>
        <w:t>实现“十五五”良好开局。把促进经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4"/>
        </w:rPr>
        <w:t>济稳定增长、物价合理回升作为货币政策的重要考量，保持流动性充裕，促进社会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综合融资成本低位运行。坚持市场在汇率形成中的决定性作用，保持汇率弹性，强</w:t>
      </w:r>
      <w:r>
        <w:rPr>
          <w:sz w:val="24"/>
          <w:szCs w:val="24"/>
          <w:color w:val="231F20"/>
          <w:spacing w:val="18"/>
        </w:rPr>
        <w:t xml:space="preserve"> </w:t>
      </w:r>
      <w:r>
        <w:rPr>
          <w:sz w:val="24"/>
          <w:szCs w:val="24"/>
          <w:color w:val="231F20"/>
          <w:spacing w:val="3"/>
        </w:rPr>
        <w:t>化预期引导，防范汇率超调风险，保持人民币汇率在合理均衡水平上的基本稳定。</w:t>
      </w:r>
      <w:r>
        <w:rPr>
          <w:sz w:val="24"/>
          <w:szCs w:val="24"/>
          <w:color w:val="231F20"/>
          <w:spacing w:val="15"/>
        </w:rPr>
        <w:t xml:space="preserve"> </w:t>
      </w:r>
      <w:r>
        <w:rPr>
          <w:sz w:val="24"/>
          <w:szCs w:val="24"/>
          <w:color w:val="231F20"/>
          <w:spacing w:val="3"/>
        </w:rPr>
        <w:t>扎实做好金融“五篇大文章”，</w:t>
      </w:r>
      <w:r>
        <w:rPr>
          <w:sz w:val="24"/>
          <w:szCs w:val="24"/>
          <w:color w:val="231F20"/>
          <w:spacing w:val="-18"/>
        </w:rPr>
        <w:t xml:space="preserve"> </w:t>
      </w:r>
      <w:r>
        <w:rPr>
          <w:sz w:val="24"/>
          <w:szCs w:val="24"/>
          <w:color w:val="231F20"/>
          <w:spacing w:val="3"/>
        </w:rPr>
        <w:t>大力发展科技金融、绿色金融、普惠金融、养老金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融、数字金融，</w:t>
      </w:r>
      <w:r>
        <w:rPr>
          <w:sz w:val="24"/>
          <w:szCs w:val="24"/>
          <w:color w:val="231F20"/>
          <w:spacing w:val="-26"/>
        </w:rPr>
        <w:t xml:space="preserve"> </w:t>
      </w:r>
      <w:r>
        <w:rPr>
          <w:sz w:val="24"/>
          <w:szCs w:val="24"/>
          <w:color w:val="231F20"/>
          <w:spacing w:val="3"/>
        </w:rPr>
        <w:t>加力支持国家重大战略、经济社会发展的重点领域和薄弱环节。健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全覆盖全面的宏观审慎管理体系，加强系统性金融风险的监测、评估，</w:t>
      </w:r>
      <w:r>
        <w:rPr>
          <w:sz w:val="24"/>
          <w:szCs w:val="24"/>
          <w:color w:val="231F20"/>
          <w:spacing w:val="-18"/>
        </w:rPr>
        <w:t xml:space="preserve"> </w:t>
      </w:r>
      <w:r>
        <w:rPr>
          <w:sz w:val="24"/>
          <w:szCs w:val="24"/>
          <w:color w:val="231F20"/>
          <w:spacing w:val="3"/>
        </w:rPr>
        <w:t>强化重点领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3"/>
        </w:rPr>
        <w:t>域的宏观审慎管理。防范化解重点领域金融风险，</w:t>
      </w:r>
      <w:r>
        <w:rPr>
          <w:sz w:val="24"/>
          <w:szCs w:val="24"/>
          <w:color w:val="231F20"/>
          <w:spacing w:val="-18"/>
        </w:rPr>
        <w:t xml:space="preserve"> </w:t>
      </w:r>
      <w:r>
        <w:rPr>
          <w:sz w:val="24"/>
          <w:szCs w:val="24"/>
          <w:color w:val="231F20"/>
          <w:spacing w:val="3"/>
        </w:rPr>
        <w:t>坚定推进金融支持融资平台债务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4"/>
        </w:rPr>
        <w:t>风险化解工作，积极稳妥处置中小金融机构风险，做好房地产</w:t>
      </w:r>
      <w:r>
        <w:rPr>
          <w:sz w:val="24"/>
          <w:szCs w:val="24"/>
          <w:color w:val="231F20"/>
          <w:spacing w:val="3"/>
        </w:rPr>
        <w:t>金融宏观审慎管理，</w:t>
      </w:r>
      <w:r>
        <w:rPr>
          <w:sz w:val="24"/>
          <w:szCs w:val="24"/>
          <w:color w:val="231F20"/>
        </w:rPr>
        <w:t xml:space="preserve"> </w:t>
      </w:r>
      <w:r>
        <w:rPr>
          <w:sz w:val="24"/>
          <w:szCs w:val="24"/>
          <w:color w:val="231F20"/>
          <w:spacing w:val="-2"/>
        </w:rPr>
        <w:t>牢牢守住不发生系统性金融风险的底线。</w:t>
      </w:r>
    </w:p>
    <w:p>
      <w:pPr>
        <w:spacing w:line="231" w:lineRule="auto"/>
        <w:sectPr>
          <w:headerReference w:type="default" r:id="rId4"/>
          <w:pgSz w:w="11906" w:h="16158"/>
          <w:pgMar w:top="400" w:right="0" w:bottom="0" w:left="0" w:header="0" w:footer="0" w:gutter="0"/>
        </w:sectPr>
        <w:rPr>
          <w:sz w:val="24"/>
          <w:szCs w:val="24"/>
        </w:rPr>
      </w:pPr>
    </w:p>
    <w:p>
      <w:pPr>
        <w:spacing w:line="16142" w:lineRule="exact"/>
        <w:rPr/>
      </w:pPr>
      <w:r>
        <w:rPr>
          <w:position w:val="-322"/>
        </w:rPr>
        <w:drawing>
          <wp:inline distT="0" distB="0" distL="0" distR="0">
            <wp:extent cx="7559993" cy="10250718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9993" cy="102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142" w:lineRule="exact"/>
        <w:sectPr>
          <w:headerReference w:type="default" r:id="rId5"/>
          <w:footerReference w:type="default" r:id="rId6"/>
          <w:pgSz w:w="11906" w:h="16158"/>
          <w:pgMar w:top="2" w:right="0" w:bottom="2" w:left="0" w:header="0" w:footer="0" w:gutter="0"/>
        </w:sectPr>
        <w:rPr/>
      </w:pPr>
    </w:p>
    <w:p>
      <w:pPr>
        <w:spacing w:before="109"/>
        <w:rPr/>
      </w:pPr>
      <w:r/>
    </w:p>
    <w:p>
      <w:pPr>
        <w:spacing w:before="109"/>
        <w:rPr/>
      </w:pPr>
      <w:r/>
    </w:p>
    <w:p>
      <w:pPr>
        <w:spacing w:before="108"/>
        <w:rPr/>
      </w:pPr>
      <w:r/>
    </w:p>
    <w:p>
      <w:pPr>
        <w:sectPr>
          <w:pgSz w:w="11906" w:h="16158"/>
          <w:pgMar w:top="400" w:right="440" w:bottom="400" w:left="1700" w:header="0" w:footer="0" w:gutter="0"/>
          <w:cols w:equalWidth="0" w:num="1">
            <w:col w:w="9765" w:space="0"/>
          </w:cols>
        </w:sectPr>
        <w:rPr/>
      </w:pPr>
    </w:p>
    <w:p>
      <w:pPr>
        <w:ind w:left="60"/>
        <w:spacing w:before="45" w:line="230" w:lineRule="exact"/>
        <w:rPr/>
      </w:pPr>
      <w:r>
        <w:rPr>
          <w:position w:val="-5"/>
        </w:rPr>
        <w:drawing>
          <wp:inline distT="0" distB="0" distL="0" distR="0">
            <wp:extent cx="1136504" cy="145584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36504" cy="14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before="135" w:line="777" w:lineRule="exact"/>
        <w:rPr>
          <w:sz w:val="77"/>
          <w:szCs w:val="77"/>
        </w:rPr>
      </w:pPr>
      <w:r>
        <w:rPr>
          <w:sz w:val="77"/>
          <w:szCs w:val="77"/>
          <w:color w:val="231F20"/>
          <w:spacing w:val="-94"/>
          <w:position w:val="-4"/>
        </w:rPr>
        <w:t>目</w:t>
      </w:r>
      <w:r>
        <w:rPr>
          <w:sz w:val="77"/>
          <w:szCs w:val="77"/>
          <w:color w:val="231F20"/>
          <w:spacing w:val="7"/>
          <w:position w:val="-4"/>
        </w:rPr>
        <w:t xml:space="preserve">   </w:t>
      </w:r>
      <w:r>
        <w:rPr>
          <w:sz w:val="77"/>
          <w:szCs w:val="77"/>
          <w:color w:val="231F20"/>
          <w:spacing w:val="-94"/>
          <w:position w:val="-4"/>
        </w:rPr>
        <w:t>录</w:t>
      </w:r>
    </w:p>
    <w:p>
      <w:pPr>
        <w:pStyle w:val="BodyText"/>
        <w:spacing w:line="291" w:lineRule="auto"/>
        <w:rPr/>
      </w:pPr>
      <w:r/>
    </w:p>
    <w:p>
      <w:pPr>
        <w:pStyle w:val="BodyText"/>
        <w:spacing w:line="291" w:lineRule="auto"/>
        <w:rPr/>
      </w:pPr>
      <w:r/>
    </w:p>
    <w:p>
      <w:pPr>
        <w:pStyle w:val="BodyText"/>
        <w:spacing w:before="1" w:line="560" w:lineRule="exact"/>
        <w:rPr/>
      </w:pPr>
      <w:r>
        <w:rPr>
          <w:position w:val="-11"/>
        </w:rPr>
        <w:pict>
          <v:shape id="_x0000_s18" style="mso-position-vertical-relative:line;mso-position-horizontal-relative:char;width:439.4pt;height:28pt;" fillcolor="#D4E5F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3"/>
                    <w:spacing w:before="134" w:line="204" w:lineRule="auto"/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</w:rPr>
                  </w:pP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第一章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14"/>
                    </w:rPr>
                    <w:t xml:space="preserve">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宏观经济运行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-1"/>
                    </w:rPr>
                    <w:t xml:space="preserve">                                                             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1</w:t>
                  </w:r>
                </w:p>
              </w:txbxContent>
            </v:textbox>
          </v:shape>
        </w:pict>
      </w:r>
    </w:p>
    <w:sdt>
      <w:sdtPr>
        <w:rPr>
          <w:rFonts w:ascii="Noto Sans CJK SC Regular" w:hAnsi="Noto Sans CJK SC Regular" w:eastAsia="Noto Sans CJK SC Regular" w:cs="Noto Sans CJK SC Regular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Noto Sans CJK SC Regular" w:hAnsi="Noto Sans CJK SC Regular" w:eastAsia="Noto Sans CJK SC Regular" w:cs="Noto Sans CJK SC Regular"/>
          <w:sz w:val="24"/>
          <w:szCs w:val="24"/>
        </w:rPr>
      </w:sdtEndPr>
      <w:sdtContent>
        <w:p>
          <w:pPr>
            <w:pStyle w:val="BodyText"/>
            <w:ind w:left="810"/>
            <w:spacing w:before="211" w:line="200" w:lineRule="auto"/>
            <w:rPr>
              <w:sz w:val="24"/>
              <w:szCs w:val="24"/>
            </w:rPr>
          </w:pPr>
          <w:hyperlink w:history="true" w:anchor="bookmark1">
            <w:r>
              <w:rPr>
                <w:sz w:val="24"/>
                <w:szCs w:val="24"/>
                <w:color w:val="231F20"/>
              </w:rPr>
              <w:t>一、国际经济金融形势              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     3</w:t>
            </w:r>
          </w:hyperlink>
        </w:p>
        <w:p>
          <w:pPr>
            <w:pStyle w:val="BodyText"/>
            <w:ind w:left="810"/>
            <w:spacing w:before="13" w:line="201" w:lineRule="auto"/>
            <w:rPr>
              <w:sz w:val="24"/>
              <w:szCs w:val="24"/>
            </w:rPr>
          </w:pPr>
          <w:hyperlink w:history="true" w:anchor="bookmark2">
            <w:r>
              <w:rPr>
                <w:sz w:val="24"/>
                <w:szCs w:val="24"/>
                <w:color w:val="231F20"/>
              </w:rPr>
              <w:t>二、国内宏观经济运行                                                                                     6</w:t>
            </w:r>
          </w:hyperlink>
        </w:p>
        <w:p>
          <w:pPr>
            <w:pStyle w:val="BodyText"/>
            <w:ind w:left="814"/>
            <w:spacing w:before="14" w:line="201" w:lineRule="auto"/>
            <w:rPr>
              <w:sz w:val="24"/>
              <w:szCs w:val="24"/>
            </w:rPr>
          </w:pPr>
          <w:hyperlink w:history="true" w:anchor="bookmark3">
            <w:r>
              <w:rPr>
                <w:sz w:val="24"/>
                <w:szCs w:val="24"/>
                <w:color w:val="231F20"/>
                <w:spacing w:val="-1"/>
              </w:rPr>
              <w:t>三、展望                                            </w:t>
            </w:r>
            <w:r>
              <w:rPr>
                <w:sz w:val="24"/>
                <w:szCs w:val="24"/>
                <w:color w:val="231F20"/>
                <w:spacing w:val="-2"/>
              </w:rPr>
              <w:t xml:space="preserve">                                                                     11</w:t>
            </w:r>
          </w:hyperlink>
        </w:p>
      </w:sdtContent>
    </w:sdt>
    <w:p>
      <w:pPr>
        <w:pStyle w:val="BodyText"/>
        <w:spacing w:before="96" w:line="560" w:lineRule="exact"/>
        <w:rPr/>
      </w:pPr>
      <w:r>
        <w:rPr>
          <w:position w:val="-11"/>
        </w:rPr>
        <w:pict>
          <v:shape id="_x0000_s20" style="mso-position-vertical-relative:line;mso-position-horizontal-relative:char;width:439.4pt;height:28pt;" fillcolor="#D4E5F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3"/>
                    <w:spacing w:before="135" w:line="204" w:lineRule="auto"/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</w:rPr>
                  </w:pP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第二章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10"/>
                    </w:rPr>
                    <w:t xml:space="preserve">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银行业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-1"/>
                    </w:rPr>
                    <w:t xml:space="preserve">                           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-2"/>
                    </w:rPr>
                    <w:t xml:space="preserve">                                 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2"/>
                    </w:rPr>
                    <w:t>17</w:t>
                  </w:r>
                </w:p>
              </w:txbxContent>
            </v:textbox>
          </v:shape>
        </w:pict>
      </w:r>
    </w:p>
    <w:sdt>
      <w:sdtPr>
        <w:rPr>
          <w:rFonts w:ascii="Noto Sans CJK SC Regular" w:hAnsi="Noto Sans CJK SC Regular" w:eastAsia="Noto Sans CJK SC Regular" w:cs="Noto Sans CJK SC Regular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Noto Sans CJK SC Regular" w:hAnsi="Noto Sans CJK SC Regular" w:eastAsia="Noto Sans CJK SC Regular" w:cs="Noto Sans CJK SC Regular"/>
          <w:sz w:val="24"/>
          <w:szCs w:val="24"/>
        </w:rPr>
      </w:sdtEndPr>
      <w:sdtContent>
        <w:p>
          <w:pPr>
            <w:pStyle w:val="BodyText"/>
            <w:ind w:left="810"/>
            <w:spacing w:before="210" w:line="201" w:lineRule="auto"/>
            <w:rPr>
              <w:sz w:val="24"/>
              <w:szCs w:val="24"/>
            </w:rPr>
          </w:pPr>
          <w:hyperlink w:history="true" w:anchor="bookmark4">
            <w:r>
              <w:rPr>
                <w:sz w:val="24"/>
                <w:szCs w:val="24"/>
                <w:color w:val="231F20"/>
                <w:spacing w:val="-1"/>
              </w:rPr>
              <w:t>一、运行状况                                    </w:t>
            </w:r>
            <w:r>
              <w:rPr>
                <w:sz w:val="24"/>
                <w:szCs w:val="24"/>
                <w:color w:val="231F20"/>
                <w:spacing w:val="-2"/>
              </w:rPr>
              <w:t xml:space="preserve">                                                                    19</w:t>
            </w:r>
          </w:hyperlink>
        </w:p>
        <w:p>
          <w:pPr>
            <w:pStyle w:val="BodyText"/>
            <w:ind w:left="810"/>
            <w:spacing w:before="14" w:line="201" w:lineRule="auto"/>
            <w:rPr>
              <w:sz w:val="24"/>
              <w:szCs w:val="24"/>
            </w:rPr>
          </w:pPr>
          <w:hyperlink w:history="true" w:anchor="bookmark5">
            <w:r>
              <w:rPr>
                <w:sz w:val="24"/>
                <w:szCs w:val="24"/>
                <w:color w:val="231F20"/>
              </w:rPr>
              <w:t>二、稳健性评估              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                21</w:t>
            </w:r>
          </w:hyperlink>
        </w:p>
        <w:p>
          <w:pPr>
            <w:pStyle w:val="BodyText"/>
            <w:ind w:left="814"/>
            <w:spacing w:before="13" w:line="201" w:lineRule="auto"/>
            <w:rPr>
              <w:sz w:val="24"/>
              <w:szCs w:val="24"/>
            </w:rPr>
          </w:pPr>
          <w:hyperlink w:history="true" w:anchor="bookmark6">
            <w:r>
              <w:rPr>
                <w:sz w:val="24"/>
                <w:szCs w:val="24"/>
                <w:color w:val="231F20"/>
                <w:spacing w:val="-1"/>
              </w:rPr>
              <w:t>三、展望                                                                                      </w:t>
            </w:r>
            <w:r>
              <w:rPr>
                <w:sz w:val="24"/>
                <w:szCs w:val="24"/>
                <w:color w:val="231F20"/>
                <w:spacing w:val="-2"/>
              </w:rPr>
              <w:t xml:space="preserve">                          22</w:t>
            </w:r>
          </w:hyperlink>
        </w:p>
      </w:sdtContent>
    </w:sdt>
    <w:p>
      <w:pPr>
        <w:pStyle w:val="BodyText"/>
        <w:spacing w:before="96" w:line="560" w:lineRule="exact"/>
        <w:rPr/>
      </w:pPr>
      <w:r>
        <w:rPr>
          <w:position w:val="-11"/>
        </w:rPr>
        <w:pict>
          <v:shape id="_x0000_s22" style="mso-position-vertical-relative:line;mso-position-horizontal-relative:char;width:439.4pt;height:28pt;" fillcolor="#D4E5F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3"/>
                    <w:spacing w:before="135" w:line="204" w:lineRule="auto"/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</w:rPr>
                  </w:pP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第三章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13"/>
                    </w:rPr>
                    <w:t xml:space="preserve">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非银行机构及其他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-1"/>
                    </w:rPr>
                    <w:t xml:space="preserve">                                                 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27</w:t>
                  </w:r>
                </w:p>
              </w:txbxContent>
            </v:textbox>
          </v:shape>
        </w:pict>
      </w:r>
    </w:p>
    <w:sdt>
      <w:sdtPr>
        <w:rPr>
          <w:rFonts w:ascii="Noto Sans CJK SC Regular" w:hAnsi="Noto Sans CJK SC Regular" w:eastAsia="Noto Sans CJK SC Regular" w:cs="Noto Sans CJK SC Regular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Noto Sans CJK SC Regular" w:hAnsi="Noto Sans CJK SC Regular" w:eastAsia="Noto Sans CJK SC Regular" w:cs="Noto Sans CJK SC Regular"/>
          <w:sz w:val="24"/>
          <w:szCs w:val="24"/>
        </w:rPr>
      </w:sdtEndPr>
      <w:sdtContent>
        <w:p>
          <w:pPr>
            <w:pStyle w:val="BodyText"/>
            <w:ind w:left="810"/>
            <w:spacing w:before="212" w:line="201" w:lineRule="auto"/>
            <w:rPr>
              <w:sz w:val="24"/>
              <w:szCs w:val="24"/>
            </w:rPr>
          </w:pPr>
          <w:hyperlink w:history="true" w:anchor="bookmark7">
            <w:r>
              <w:rPr>
                <w:sz w:val="24"/>
                <w:szCs w:val="24"/>
                <w:color w:val="231F20"/>
                <w:spacing w:val="-1"/>
              </w:rPr>
              <w:t>一、保险业                                                                                                           29</w:t>
            </w:r>
          </w:hyperlink>
        </w:p>
        <w:p>
          <w:pPr>
            <w:pStyle w:val="BodyText"/>
            <w:ind w:left="810"/>
            <w:spacing w:before="13" w:line="201" w:lineRule="auto"/>
            <w:rPr>
              <w:sz w:val="24"/>
              <w:szCs w:val="24"/>
            </w:rPr>
          </w:pPr>
          <w:hyperlink w:history="true" w:anchor="bookmark8">
            <w:r>
              <w:rPr>
                <w:sz w:val="24"/>
                <w:szCs w:val="24"/>
                <w:color w:val="231F20"/>
                <w:spacing w:val="-1"/>
              </w:rPr>
              <w:t>二、证券业                                                                                                           32</w:t>
            </w:r>
          </w:hyperlink>
        </w:p>
        <w:p>
          <w:pPr>
            <w:pStyle w:val="BodyText"/>
            <w:ind w:left="814"/>
            <w:spacing w:before="13" w:line="200" w:lineRule="auto"/>
            <w:rPr>
              <w:sz w:val="24"/>
              <w:szCs w:val="24"/>
            </w:rPr>
          </w:pPr>
          <w:hyperlink w:history="true" w:anchor="bookmark9">
            <w:r>
              <w:rPr>
                <w:sz w:val="24"/>
                <w:szCs w:val="24"/>
                <w:color w:val="231F20"/>
              </w:rPr>
              <w:t>三、资产管理行业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                                           39</w:t>
            </w:r>
          </w:hyperlink>
        </w:p>
      </w:sdtContent>
    </w:sdt>
    <w:p>
      <w:pPr>
        <w:pStyle w:val="BodyText"/>
        <w:spacing w:before="97" w:line="560" w:lineRule="exact"/>
        <w:rPr/>
      </w:pPr>
      <w:r>
        <w:rPr>
          <w:position w:val="-11"/>
        </w:rPr>
        <w:pict>
          <v:shape id="_x0000_s24" style="mso-position-vertical-relative:line;mso-position-horizontal-relative:char;width:439.4pt;height:28pt;" fillcolor="#D4E5F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3"/>
                    <w:spacing w:before="135" w:line="204" w:lineRule="auto"/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</w:rPr>
                  </w:pP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</w:rPr>
                    <w:t>第四章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10"/>
                    </w:rPr>
                    <w:t xml:space="preserve">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</w:rPr>
                    <w:t>金融市场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</w:rPr>
                    <w:t xml:space="preserve">           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-1"/>
                    </w:rPr>
                    <w:t xml:space="preserve">                                           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43</w:t>
                  </w:r>
                </w:p>
              </w:txbxContent>
            </v:textbox>
          </v:shape>
        </w:pict>
      </w:r>
    </w:p>
    <w:sdt>
      <w:sdtPr>
        <w:rPr>
          <w:rFonts w:ascii="Noto Sans CJK SC Regular" w:hAnsi="Noto Sans CJK SC Regular" w:eastAsia="Noto Sans CJK SC Regular" w:cs="Noto Sans CJK SC Regular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Noto Sans CJK SC Regular" w:hAnsi="Noto Sans CJK SC Regular" w:eastAsia="Noto Sans CJK SC Regular" w:cs="Noto Sans CJK SC Regular"/>
          <w:sz w:val="24"/>
          <w:szCs w:val="24"/>
        </w:rPr>
      </w:sdtEndPr>
      <w:sdtContent>
        <w:p>
          <w:pPr>
            <w:pStyle w:val="BodyText"/>
            <w:ind w:left="810"/>
            <w:spacing w:before="211" w:line="201" w:lineRule="auto"/>
            <w:rPr>
              <w:sz w:val="24"/>
              <w:szCs w:val="24"/>
            </w:rPr>
          </w:pPr>
          <w:hyperlink w:history="true" w:anchor="bookmark10">
            <w:r>
              <w:rPr>
                <w:sz w:val="24"/>
                <w:szCs w:val="24"/>
                <w:color w:val="231F20"/>
              </w:rPr>
              <w:t>一、市场运行情况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                                           45</w:t>
            </w:r>
          </w:hyperlink>
        </w:p>
        <w:p>
          <w:pPr>
            <w:pStyle w:val="BodyText"/>
            <w:ind w:left="810"/>
            <w:spacing w:before="13" w:line="201" w:lineRule="auto"/>
            <w:rPr>
              <w:sz w:val="24"/>
              <w:szCs w:val="24"/>
            </w:rPr>
          </w:pPr>
          <w:hyperlink w:history="true" w:anchor="bookmark11">
            <w:r>
              <w:rPr>
                <w:sz w:val="24"/>
                <w:szCs w:val="24"/>
                <w:color w:val="231F20"/>
              </w:rPr>
              <w:t>二、金融市场制度建设                               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49</w:t>
            </w:r>
          </w:hyperlink>
        </w:p>
        <w:p>
          <w:pPr>
            <w:pStyle w:val="BodyText"/>
            <w:ind w:left="814"/>
            <w:spacing w:before="14" w:line="201" w:lineRule="auto"/>
            <w:rPr>
              <w:sz w:val="24"/>
              <w:szCs w:val="24"/>
            </w:rPr>
          </w:pPr>
          <w:hyperlink w:history="true" w:anchor="bookmark12">
            <w:r>
              <w:rPr>
                <w:sz w:val="24"/>
                <w:szCs w:val="24"/>
                <w:color w:val="231F20"/>
              </w:rPr>
              <w:t>三、金融市场稳健性评估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            50</w:t>
            </w:r>
          </w:hyperlink>
        </w:p>
        <w:p>
          <w:pPr>
            <w:pStyle w:val="BodyText"/>
            <w:ind w:left="835"/>
            <w:spacing w:before="13" w:line="201" w:lineRule="auto"/>
            <w:rPr>
              <w:sz w:val="24"/>
              <w:szCs w:val="24"/>
            </w:rPr>
          </w:pPr>
          <w:hyperlink w:history="true" w:anchor="bookmark13">
            <w:r>
              <w:rPr>
                <w:sz w:val="24"/>
                <w:szCs w:val="24"/>
                <w:color w:val="231F20"/>
                <w:spacing w:val="-8"/>
              </w:rPr>
              <w:t>四、展望</w:t>
            </w:r>
            <w:r>
              <w:rPr>
                <w:sz w:val="24"/>
                <w:szCs w:val="24"/>
                <w:color w:val="231F20"/>
                <w:spacing w:val="1"/>
              </w:rPr>
              <w:t xml:space="preserve">                                           </w:t>
            </w:r>
            <w:r>
              <w:rPr>
                <w:sz w:val="24"/>
                <w:szCs w:val="24"/>
                <w:color w:val="231F20"/>
              </w:rPr>
              <w:t xml:space="preserve">                                                                  </w:t>
            </w:r>
            <w:r>
              <w:rPr>
                <w:sz w:val="24"/>
                <w:szCs w:val="24"/>
                <w:color w:val="231F20"/>
                <w:spacing w:val="-8"/>
              </w:rPr>
              <w:t>52</w:t>
            </w:r>
          </w:hyperlink>
        </w:p>
      </w:sdtContent>
    </w:sdt>
    <w:p>
      <w:pPr>
        <w:pStyle w:val="BodyText"/>
        <w:spacing w:before="96" w:line="560" w:lineRule="exact"/>
        <w:rPr/>
      </w:pPr>
      <w:r>
        <w:rPr>
          <w:position w:val="-11"/>
        </w:rPr>
        <w:pict>
          <v:shape id="_x0000_s26" style="mso-position-vertical-relative:line;mso-position-horizontal-relative:char;width:439.4pt;height:28pt;" fillcolor="#D4E5F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3"/>
                    <w:spacing w:before="135" w:line="204" w:lineRule="auto"/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</w:rPr>
                  </w:pP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</w:rPr>
                    <w:t>第五章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10"/>
                    </w:rPr>
                    <w:t xml:space="preserve">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</w:rPr>
                    <w:t>宏观审慎管理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</w:rPr>
                    <w:t xml:space="preserve">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-1"/>
                    </w:rPr>
                    <w:t xml:space="preserve">                                             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57</w:t>
                  </w:r>
                </w:p>
              </w:txbxContent>
            </v:textbox>
          </v:shape>
        </w:pict>
      </w:r>
    </w:p>
    <w:sdt>
      <w:sdtPr>
        <w:rPr>
          <w:rFonts w:ascii="Noto Sans CJK SC Regular" w:hAnsi="Noto Sans CJK SC Regular" w:eastAsia="Noto Sans CJK SC Regular" w:cs="Noto Sans CJK SC Regular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Noto Sans CJK SC Regular" w:hAnsi="Noto Sans CJK SC Regular" w:eastAsia="Noto Sans CJK SC Regular" w:cs="Noto Sans CJK SC Regular"/>
          <w:sz w:val="24"/>
          <w:szCs w:val="24"/>
        </w:rPr>
      </w:sdtEndPr>
      <w:sdtContent>
        <w:p>
          <w:pPr>
            <w:pStyle w:val="BodyText"/>
            <w:ind w:left="810"/>
            <w:spacing w:before="211" w:line="201" w:lineRule="auto"/>
            <w:rPr>
              <w:sz w:val="24"/>
              <w:szCs w:val="24"/>
            </w:rPr>
          </w:pPr>
          <w:hyperlink w:history="true" w:anchor="bookmark14">
            <w:r>
              <w:rPr>
                <w:sz w:val="24"/>
                <w:szCs w:val="24"/>
                <w:color w:val="231F20"/>
              </w:rPr>
              <w:t>一、国际金融监管改革及落实进展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59</w:t>
            </w:r>
          </w:hyperlink>
        </w:p>
        <w:p>
          <w:pPr>
            <w:pStyle w:val="BodyText"/>
            <w:ind w:left="810"/>
            <w:spacing w:before="14" w:line="201" w:lineRule="auto"/>
            <w:rPr>
              <w:sz w:val="24"/>
              <w:szCs w:val="24"/>
            </w:rPr>
          </w:pPr>
          <w:hyperlink w:history="true" w:anchor="bookmark15">
            <w:r>
              <w:rPr>
                <w:sz w:val="24"/>
                <w:szCs w:val="24"/>
                <w:color w:val="231F20"/>
              </w:rPr>
              <w:t>二、主要经济体实践         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            63</w:t>
            </w:r>
          </w:hyperlink>
        </w:p>
        <w:p>
          <w:pPr>
            <w:pStyle w:val="BodyText"/>
            <w:ind w:left="814"/>
            <w:spacing w:before="13" w:line="275" w:lineRule="exact"/>
            <w:rPr>
              <w:sz w:val="24"/>
              <w:szCs w:val="24"/>
            </w:rPr>
          </w:pPr>
          <w:hyperlink w:history="true" w:anchor="bookmark16">
            <w:r>
              <w:rPr>
                <w:sz w:val="24"/>
                <w:szCs w:val="24"/>
                <w:color w:val="231F20"/>
                <w:position w:val="-1"/>
              </w:rPr>
              <w:t>三、我国实践                </w:t>
            </w:r>
            <w:r>
              <w:rPr>
                <w:sz w:val="24"/>
                <w:szCs w:val="24"/>
                <w:color w:val="231F20"/>
                <w:spacing w:val="-1"/>
                <w:position w:val="-1"/>
              </w:rPr>
              <w:t xml:space="preserve">                                                                                      66</w:t>
            </w:r>
          </w:hyperlink>
        </w:p>
      </w:sdtContent>
    </w:sdt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9" w:lineRule="auto"/>
        <w:rPr/>
      </w:pPr>
      <w:r>
        <w:pict>
          <v:shape id="_x0000_s28" style="position:absolute;margin-left:13.3572pt;margin-top:2.44501pt;mso-position-vertical-relative:text;mso-position-horizontal-relative:text;width:0.5pt;height:623.65pt;z-index:251675648;" filled="false" strokecolor="#174B8B" strokeweight="0.50pt" coordsize="10,12473" coordorigin="0,0" path="m4,0l4,12472e">
            <v:stroke joinstyle="miter" miterlimit="4"/>
          </v:shape>
        </w:pict>
      </w: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49" w:lineRule="auto"/>
        <w:rPr/>
      </w:pPr>
      <w:r/>
    </w:p>
    <w:p>
      <w:pPr>
        <w:pStyle w:val="BodyText"/>
        <w:spacing w:line="250" w:lineRule="auto"/>
        <w:rPr/>
      </w:pPr>
      <w:r>
        <w:pict>
          <v:shape id="_x0000_s30" style="position:absolute;margin-left:12.5277pt;margin-top:4.74005pt;mso-position-vertical-relative:text;mso-position-horizontal-relative:text;width:18.6pt;height:26pt;z-index:25167667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20" w:line="167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231F20"/>
                      <w:spacing w:val="-1"/>
                    </w:rPr>
                    <w:t>目录</w:t>
                  </w:r>
                </w:p>
              </w:txbxContent>
            </v:textbox>
          </v:shape>
        </w:pict>
      </w:r>
      <w:r/>
    </w:p>
    <w:p>
      <w:pPr>
        <w:pStyle w:val="BodyText"/>
        <w:spacing w:line="250" w:lineRule="auto"/>
        <w:rPr/>
      </w:pPr>
      <w:r>
        <w:pict>
          <v:rect id="_x0000_s32" style="position:absolute;margin-left:13.323pt;margin-top:13.7387pt;mso-position-vertical-relative:text;mso-position-horizontal-relative:text;width:22.7pt;height:5.9pt;z-index:251674624;" fillcolor="#174B8B" filled="true" stroked="false"/>
        </w:pict>
      </w:r>
      <w:r/>
    </w:p>
    <w:p>
      <w:pPr>
        <w:ind w:left="460"/>
        <w:spacing w:before="61" w:line="193" w:lineRule="auto"/>
        <w:rPr>
          <w:rFonts w:ascii="DejaVu Sans" w:hAnsi="DejaVu Sans" w:eastAsia="DejaVu Sans" w:cs="DejaVu Sans"/>
          <w:sz w:val="21"/>
          <w:szCs w:val="21"/>
        </w:rPr>
      </w:pPr>
      <w:r>
        <w:rPr>
          <w:rFonts w:ascii="DejaVu Sans" w:hAnsi="DejaVu Sans" w:eastAsia="DejaVu Sans" w:cs="DejaVu Sans"/>
          <w:sz w:val="21"/>
          <w:szCs w:val="21"/>
          <w:color w:val="231F20"/>
        </w:rPr>
        <w:t>1</w:t>
      </w:r>
    </w:p>
    <w:p>
      <w:pPr>
        <w:spacing w:line="193" w:lineRule="auto"/>
        <w:sectPr>
          <w:type w:val="continuous"/>
          <w:pgSz w:w="11906" w:h="16158"/>
          <w:pgMar w:top="400" w:right="440" w:bottom="400" w:left="1700" w:header="0" w:footer="0" w:gutter="0"/>
          <w:cols w:equalWidth="0" w:num="2">
            <w:col w:w="8945" w:space="100"/>
            <w:col w:w="720" w:space="0"/>
          </w:cols>
        </w:sectPr>
        <w:rPr>
          <w:rFonts w:ascii="DejaVu Sans" w:hAnsi="DejaVu Sans" w:eastAsia="DejaVu Sans" w:cs="DejaVu Sans"/>
          <w:sz w:val="21"/>
          <w:szCs w:val="21"/>
        </w:rPr>
      </w:pPr>
    </w:p>
    <w:p>
      <w:pPr>
        <w:spacing w:before="76"/>
        <w:rPr/>
      </w:pPr>
      <w:r>
        <w:pict>
          <v:shape id="_x0000_s34" style="position:absolute;margin-left:22.5357pt;margin-top:276.22pt;mso-position-vertical-relative:page;mso-position-horizontal-relative:page;width:18.6pt;height:26pt;z-index:251677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 style="layout-flow:vertical-ideographic;">
              <w:txbxContent>
                <w:p>
                  <w:pPr>
                    <w:pStyle w:val="BodyText"/>
                    <w:ind w:left="20"/>
                    <w:spacing w:before="20" w:line="167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color w:val="231F20"/>
                      <w:spacing w:val="-1"/>
                    </w:rPr>
                    <w:t>目录</w:t>
                  </w:r>
                </w:p>
              </w:txbxContent>
            </v:textbox>
          </v:shape>
        </w:pict>
      </w:r>
      <w:r/>
    </w:p>
    <w:p>
      <w:pPr>
        <w:spacing w:before="75"/>
        <w:rPr/>
      </w:pPr>
      <w:r/>
    </w:p>
    <w:p>
      <w:pPr>
        <w:spacing w:before="75"/>
        <w:rPr/>
      </w:pPr>
      <w:r/>
    </w:p>
    <w:p>
      <w:pPr>
        <w:sectPr>
          <w:pgSz w:w="11906" w:h="16158"/>
          <w:pgMar w:top="400" w:right="1700" w:bottom="400" w:left="204" w:header="0" w:footer="0" w:gutter="0"/>
          <w:cols w:equalWidth="0" w:num="1">
            <w:col w:w="10001" w:space="0"/>
          </w:cols>
        </w:sectPr>
        <w:rPr/>
      </w:pPr>
    </w:p>
    <w:p>
      <w:pPr>
        <w:pStyle w:val="BodyText"/>
        <w:spacing w:line="263" w:lineRule="auto"/>
        <w:rPr/>
      </w:pPr>
      <w:r>
        <w:pict>
          <v:shape id="_x0000_s36" style="position:absolute;margin-left:35.7605pt;margin-top:7.49188pt;mso-position-vertical-relative:text;mso-position-horizontal-relative:text;width:0.5pt;height:623.65pt;z-index:251679744;" filled="false" strokecolor="#174B8B" strokeweight="0.50pt" coordsize="10,12473" coordorigin="0,0" path="m4,0l4,12472e">
            <v:stroke joinstyle="miter" miterlimit="4"/>
          </v:shape>
        </w:pict>
      </w: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>
        <w:pict>
          <v:rect id="_x0000_s38" style="position:absolute;margin-left:13.1172pt;margin-top:15.0507pt;mso-position-vertical-relative:text;mso-position-horizontal-relative:text;width:22.7pt;height:5.9pt;z-index:251678720;" fillcolor="#174B8B" filled="true" stroked="false"/>
        </w:pict>
      </w:r>
      <w:r/>
    </w:p>
    <w:p>
      <w:pPr>
        <w:ind w:left="441"/>
        <w:spacing w:before="62" w:line="197" w:lineRule="auto"/>
        <w:rPr>
          <w:rFonts w:ascii="DejaVu Sans" w:hAnsi="DejaVu Sans" w:eastAsia="DejaVu Sans" w:cs="DejaVu Sans"/>
          <w:sz w:val="21"/>
          <w:szCs w:val="21"/>
        </w:rPr>
      </w:pPr>
      <w:r>
        <w:rPr>
          <w:rFonts w:ascii="DejaVu Sans" w:hAnsi="DejaVu Sans" w:eastAsia="DejaVu Sans" w:cs="DejaVu Sans"/>
          <w:sz w:val="21"/>
          <w:szCs w:val="21"/>
          <w:color w:val="231F20"/>
        </w:rPr>
        <w:t>2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557" w:lineRule="exact"/>
        <w:rPr/>
      </w:pPr>
      <w:r>
        <w:rPr>
          <w:position w:val="-11"/>
        </w:rPr>
        <w:pict>
          <v:shape id="_x0000_s40" style="mso-position-vertical-relative:line;mso-position-horizontal-relative:char;width:439.4pt;height:28pt;" fillcolor="#D4E5F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4"/>
                    <w:spacing w:before="150" w:line="177" w:lineRule="auto"/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</w:rPr>
                  </w:pPr>
                  <w:bookmarkStart w:name="bookmark17" w:id="1"/>
                  <w:bookmarkEnd w:id="1"/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7"/>
                    </w:rPr>
                    <w:t>专栏</w:t>
                  </w:r>
                </w:p>
              </w:txbxContent>
            </v:textbox>
          </v:shape>
        </w:pict>
      </w:r>
    </w:p>
    <w:sdt>
      <w:sdtPr>
        <w:rPr>
          <w:rFonts w:ascii="Noto Sans CJK SC Regular" w:hAnsi="Noto Sans CJK SC Regular" w:eastAsia="Noto Sans CJK SC Regular" w:cs="Noto Sans CJK SC Regular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Noto Sans CJK SC Regular" w:hAnsi="Noto Sans CJK SC Regular" w:eastAsia="Noto Sans CJK SC Regular" w:cs="Noto Sans CJK SC Regular"/>
          <w:sz w:val="24"/>
          <w:szCs w:val="24"/>
        </w:rPr>
      </w:sdtEndPr>
      <w:sdtContent>
        <w:p>
          <w:pPr>
            <w:pStyle w:val="BodyText"/>
            <w:ind w:left="809"/>
            <w:spacing w:before="210" w:line="201" w:lineRule="auto"/>
            <w:rPr>
              <w:sz w:val="24"/>
              <w:szCs w:val="24"/>
            </w:rPr>
          </w:pPr>
          <w:hyperlink w:history="true" w:anchor="bookmark18">
            <w:r>
              <w:rPr>
                <w:sz w:val="24"/>
                <w:szCs w:val="24"/>
                <w:color w:val="231F20"/>
              </w:rPr>
              <w:t>专栏一    我国各部门杠杆率的变动及分析                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6</w:t>
            </w:r>
          </w:hyperlink>
        </w:p>
        <w:p>
          <w:pPr>
            <w:pStyle w:val="BodyText"/>
            <w:ind w:left="809"/>
            <w:spacing w:before="14" w:line="200" w:lineRule="auto"/>
            <w:rPr>
              <w:sz w:val="24"/>
              <w:szCs w:val="24"/>
            </w:rPr>
          </w:pPr>
          <w:hyperlink w:history="true" w:anchor="bookmark19">
            <w:r>
              <w:rPr>
                <w:sz w:val="24"/>
                <w:szCs w:val="24"/>
                <w:color w:val="231F20"/>
                <w:spacing w:val="-1"/>
              </w:rPr>
              <w:t>专栏二    2024年我国跨境资本流动形势                                                </w:t>
            </w:r>
            <w:r>
              <w:rPr>
                <w:sz w:val="24"/>
                <w:szCs w:val="24"/>
                <w:color w:val="231F20"/>
                <w:spacing w:val="-2"/>
              </w:rPr>
              <w:t xml:space="preserve">       8</w:t>
            </w:r>
          </w:hyperlink>
        </w:p>
        <w:p>
          <w:pPr>
            <w:pStyle w:val="BodyText"/>
            <w:ind w:left="809"/>
            <w:spacing w:before="14" w:line="201" w:lineRule="auto"/>
            <w:rPr>
              <w:sz w:val="24"/>
              <w:szCs w:val="24"/>
            </w:rPr>
          </w:pPr>
          <w:hyperlink w:history="true" w:anchor="bookmark20">
            <w:r>
              <w:rPr>
                <w:sz w:val="24"/>
                <w:szCs w:val="24"/>
                <w:color w:val="231F20"/>
                <w:spacing w:val="-1"/>
              </w:rPr>
              <w:t>专栏三    做好科技金融大文章     精准支持科技创新重点领域            12</w:t>
            </w:r>
          </w:hyperlink>
        </w:p>
        <w:p>
          <w:pPr>
            <w:pStyle w:val="BodyText"/>
            <w:ind w:left="809"/>
            <w:spacing w:before="15" w:line="200" w:lineRule="auto"/>
            <w:rPr>
              <w:sz w:val="24"/>
              <w:szCs w:val="24"/>
            </w:rPr>
          </w:pPr>
          <w:hyperlink w:history="true" w:anchor="bookmark21">
            <w:r>
              <w:rPr>
                <w:sz w:val="24"/>
                <w:szCs w:val="24"/>
                <w:color w:val="231F20"/>
                <w:spacing w:val="-1"/>
              </w:rPr>
              <w:t>专栏四    金融支持融资平台债务风险化解取得阶段性成效                 14</w:t>
            </w:r>
          </w:hyperlink>
        </w:p>
        <w:p>
          <w:pPr>
            <w:pStyle w:val="BodyText"/>
            <w:ind w:left="809"/>
            <w:spacing w:before="14" w:line="201" w:lineRule="auto"/>
            <w:rPr>
              <w:sz w:val="24"/>
              <w:szCs w:val="24"/>
            </w:rPr>
          </w:pPr>
          <w:hyperlink w:history="true" w:anchor="bookmark22">
            <w:r>
              <w:rPr>
                <w:sz w:val="24"/>
                <w:szCs w:val="24"/>
                <w:color w:val="231F20"/>
              </w:rPr>
              <w:t>专栏五     国有大型商业银行提升损失吸收</w:t>
            </w:r>
            <w:r>
              <w:rPr>
                <w:sz w:val="24"/>
                <w:szCs w:val="24"/>
                <w:color w:val="231F20"/>
                <w:spacing w:val="-1"/>
              </w:rPr>
              <w:t>能力和经营稳健性           21</w:t>
            </w:r>
          </w:hyperlink>
        </w:p>
        <w:p>
          <w:pPr>
            <w:pStyle w:val="BodyText"/>
            <w:ind w:left="809"/>
            <w:spacing w:before="15" w:line="180" w:lineRule="auto"/>
            <w:rPr>
              <w:sz w:val="24"/>
              <w:szCs w:val="24"/>
            </w:rPr>
          </w:pPr>
          <w:hyperlink w:history="true" w:anchor="bookmark23">
            <w:r>
              <w:rPr>
                <w:sz w:val="24"/>
                <w:szCs w:val="24"/>
                <w:color w:val="231F20"/>
                <w:spacing w:val="1"/>
              </w:rPr>
              <w:t>专栏六    市场利率定价自律机制有效</w:t>
            </w:r>
            <w:r>
              <w:rPr>
                <w:sz w:val="24"/>
                <w:szCs w:val="24"/>
                <w:color w:val="231F20"/>
              </w:rPr>
              <w:t>提升金融服务实体经济</w:t>
            </w:r>
          </w:hyperlink>
        </w:p>
        <w:p>
          <w:pPr>
            <w:pStyle w:val="BodyText"/>
            <w:ind w:left="1773"/>
            <w:spacing w:before="52" w:line="201" w:lineRule="auto"/>
            <w:rPr>
              <w:sz w:val="24"/>
              <w:szCs w:val="24"/>
            </w:rPr>
          </w:pPr>
          <w:hyperlink w:history="true" w:anchor="bookmark23">
            <w:r>
              <w:rPr>
                <w:sz w:val="24"/>
                <w:szCs w:val="24"/>
                <w:color w:val="231F20"/>
                <w:spacing w:val="-1"/>
              </w:rPr>
              <w:t>可持续性                                                                                             23</w:t>
            </w:r>
          </w:hyperlink>
        </w:p>
        <w:p>
          <w:pPr>
            <w:pStyle w:val="BodyText"/>
            <w:ind w:left="809"/>
            <w:spacing w:before="14" w:line="200" w:lineRule="auto"/>
            <w:rPr>
              <w:sz w:val="24"/>
              <w:szCs w:val="24"/>
            </w:rPr>
          </w:pPr>
          <w:hyperlink w:history="true" w:anchor="bookmark24">
            <w:r>
              <w:rPr>
                <w:sz w:val="24"/>
                <w:szCs w:val="24"/>
                <w:color w:val="231F20"/>
                <w:spacing w:val="-1"/>
              </w:rPr>
              <w:t>专栏七</w:t>
            </w:r>
            <w:r>
              <w:rPr>
                <w:sz w:val="24"/>
                <w:szCs w:val="24"/>
                <w:color w:val="231F20"/>
                <w:spacing w:val="14"/>
                <w:w w:val="101"/>
              </w:rPr>
              <w:t xml:space="preserve">    </w:t>
            </w:r>
            <w:r>
              <w:rPr>
                <w:sz w:val="24"/>
                <w:szCs w:val="24"/>
                <w:color w:val="231F20"/>
                <w:spacing w:val="-1"/>
              </w:rPr>
              <w:t>防范化解保险业风险的做法和成效                                           31</w:t>
            </w:r>
          </w:hyperlink>
        </w:p>
        <w:p>
          <w:pPr>
            <w:pStyle w:val="BodyText"/>
            <w:ind w:left="809"/>
            <w:spacing w:before="14" w:line="201" w:lineRule="auto"/>
            <w:rPr>
              <w:sz w:val="24"/>
              <w:szCs w:val="24"/>
            </w:rPr>
          </w:pPr>
          <w:hyperlink w:history="true" w:anchor="bookmark25">
            <w:r>
              <w:rPr>
                <w:sz w:val="24"/>
                <w:szCs w:val="24"/>
                <w:color w:val="231F20"/>
              </w:rPr>
              <w:t>专栏八    公募基金流动性压力测试结果分析           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34</w:t>
            </w:r>
          </w:hyperlink>
        </w:p>
        <w:p>
          <w:pPr>
            <w:pStyle w:val="BodyText"/>
            <w:ind w:left="809"/>
            <w:spacing w:before="15" w:line="200" w:lineRule="auto"/>
            <w:rPr>
              <w:sz w:val="24"/>
              <w:szCs w:val="24"/>
            </w:rPr>
          </w:pPr>
          <w:hyperlink w:history="true" w:anchor="bookmark26">
            <w:r>
              <w:rPr>
                <w:sz w:val="24"/>
                <w:szCs w:val="24"/>
                <w:color w:val="231F20"/>
              </w:rPr>
              <w:t>专栏九    建立市值管理制度     推动上市</w:t>
            </w:r>
            <w:r>
              <w:rPr>
                <w:sz w:val="24"/>
                <w:szCs w:val="24"/>
                <w:color w:val="231F20"/>
                <w:spacing w:val="-1"/>
              </w:rPr>
              <w:t>公司投资价值持续提升       37</w:t>
            </w:r>
          </w:hyperlink>
        </w:p>
        <w:p>
          <w:pPr>
            <w:pStyle w:val="BodyText"/>
            <w:ind w:left="809"/>
            <w:spacing w:before="15" w:line="200" w:lineRule="auto"/>
            <w:rPr>
              <w:sz w:val="24"/>
              <w:szCs w:val="24"/>
            </w:rPr>
          </w:pPr>
          <w:hyperlink w:history="true" w:anchor="bookmark27">
            <w:r>
              <w:rPr>
                <w:sz w:val="24"/>
                <w:szCs w:val="24"/>
                <w:color w:val="231F20"/>
              </w:rPr>
              <w:t>专栏十    开放式银行理财产品流动性压力测试结</w:t>
            </w:r>
            <w:r>
              <w:rPr>
                <w:sz w:val="24"/>
                <w:szCs w:val="24"/>
                <w:color w:val="231F20"/>
                <w:spacing w:val="-1"/>
              </w:rPr>
              <w:t>果分析                     40</w:t>
            </w:r>
          </w:hyperlink>
        </w:p>
        <w:p>
          <w:pPr>
            <w:pStyle w:val="BodyText"/>
            <w:ind w:left="809"/>
            <w:spacing w:before="13" w:line="201" w:lineRule="auto"/>
            <w:rPr>
              <w:sz w:val="24"/>
              <w:szCs w:val="24"/>
            </w:rPr>
          </w:pPr>
          <w:hyperlink w:history="true" w:anchor="bookmark28">
            <w:r>
              <w:rPr>
                <w:sz w:val="24"/>
                <w:szCs w:val="24"/>
                <w:color w:val="231F20"/>
              </w:rPr>
              <w:t>专栏十一</w:t>
            </w:r>
            <w:r>
              <w:rPr>
                <w:sz w:val="24"/>
                <w:szCs w:val="24"/>
                <w:color w:val="231F20"/>
                <w:spacing w:val="8"/>
              </w:rPr>
              <w:t xml:space="preserve">    </w:t>
            </w:r>
            <w:r>
              <w:rPr>
                <w:sz w:val="24"/>
                <w:szCs w:val="24"/>
                <w:color w:val="231F20"/>
              </w:rPr>
              <w:t>推动中长期资金入市                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53</w:t>
            </w:r>
          </w:hyperlink>
        </w:p>
        <w:p>
          <w:pPr>
            <w:pStyle w:val="BodyText"/>
            <w:ind w:left="809"/>
            <w:spacing w:before="18" w:line="179" w:lineRule="auto"/>
            <w:rPr>
              <w:sz w:val="24"/>
              <w:szCs w:val="24"/>
            </w:rPr>
          </w:pPr>
          <w:hyperlink w:history="true" w:anchor="bookmark29">
            <w:r>
              <w:rPr>
                <w:sz w:val="24"/>
                <w:szCs w:val="24"/>
                <w:color w:val="231F20"/>
              </w:rPr>
              <w:t>专栏十二    立足宏观审慎管理职能     促</w:t>
            </w:r>
            <w:r>
              <w:rPr>
                <w:sz w:val="24"/>
                <w:szCs w:val="24"/>
                <w:color w:val="231F20"/>
                <w:spacing w:val="-1"/>
              </w:rPr>
              <w:t>进房地产市场平稳健康</w:t>
            </w:r>
          </w:hyperlink>
        </w:p>
        <w:p>
          <w:pPr>
            <w:pStyle w:val="BodyText"/>
            <w:ind w:left="2011"/>
            <w:spacing w:before="52" w:line="201" w:lineRule="auto"/>
            <w:rPr>
              <w:sz w:val="24"/>
              <w:szCs w:val="24"/>
            </w:rPr>
          </w:pPr>
          <w:hyperlink w:history="true" w:anchor="bookmark29">
            <w:r>
              <w:rPr>
                <w:sz w:val="24"/>
                <w:szCs w:val="24"/>
                <w:color w:val="231F20"/>
                <w:spacing w:val="-1"/>
              </w:rPr>
              <w:t>发展                                        </w:t>
            </w:r>
            <w:r>
              <w:rPr>
                <w:sz w:val="24"/>
                <w:szCs w:val="24"/>
                <w:color w:val="231F20"/>
                <w:spacing w:val="-2"/>
              </w:rPr>
              <w:t xml:space="preserve">                                                           67</w:t>
            </w:r>
          </w:hyperlink>
        </w:p>
        <w:p>
          <w:pPr>
            <w:pStyle w:val="BodyText"/>
            <w:ind w:left="809"/>
            <w:spacing w:before="18" w:line="179" w:lineRule="auto"/>
            <w:rPr>
              <w:sz w:val="24"/>
              <w:szCs w:val="24"/>
            </w:rPr>
          </w:pPr>
          <w:hyperlink w:history="true" w:anchor="bookmark30">
            <w:r>
              <w:rPr>
                <w:sz w:val="24"/>
                <w:szCs w:val="24"/>
                <w:color w:val="231F20"/>
              </w:rPr>
              <w:t>专栏十三    拓展中央银行宏观审慎与金融稳定功能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维护金融</w:t>
            </w:r>
          </w:hyperlink>
        </w:p>
        <w:p>
          <w:pPr>
            <w:pStyle w:val="BodyText"/>
            <w:ind w:left="2011"/>
            <w:spacing w:before="50" w:line="201" w:lineRule="auto"/>
            <w:rPr>
              <w:sz w:val="24"/>
              <w:szCs w:val="24"/>
            </w:rPr>
          </w:pPr>
          <w:hyperlink w:history="true" w:anchor="bookmark30">
            <w:r>
              <w:rPr>
                <w:sz w:val="24"/>
                <w:szCs w:val="24"/>
                <w:color w:val="231F20"/>
              </w:rPr>
              <w:t>市场稳定运行   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         69</w:t>
            </w:r>
          </w:hyperlink>
        </w:p>
      </w:sdtContent>
    </w:sdt>
    <w:p>
      <w:pPr>
        <w:pStyle w:val="BodyText"/>
        <w:spacing w:before="97" w:line="560" w:lineRule="exact"/>
        <w:rPr/>
      </w:pPr>
      <w:r>
        <w:rPr>
          <w:position w:val="-11"/>
        </w:rPr>
        <w:pict>
          <v:shape id="_x0000_s42" style="mso-position-vertical-relative:line;mso-position-horizontal-relative:char;width:439.4pt;height:28pt;" fillcolor="#D4E5F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54"/>
                    <w:spacing w:before="150" w:line="177" w:lineRule="auto"/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</w:rPr>
                  </w:pP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7"/>
                    </w:rPr>
                    <w:t>专题</w:t>
                  </w:r>
                </w:p>
              </w:txbxContent>
            </v:textbox>
          </v:shape>
        </w:pict>
      </w:r>
    </w:p>
    <w:sdt>
      <w:sdtPr>
        <w:rPr>
          <w:rFonts w:ascii="Noto Sans CJK SC Regular" w:hAnsi="Noto Sans CJK SC Regular" w:eastAsia="Noto Sans CJK SC Regular" w:cs="Noto Sans CJK SC Regular"/>
          <w:sz w:val="24"/>
          <w:szCs w:val="24"/>
        </w:rPr>
        <w:docPartObj>
          <w:docPartGallery w:val="Table of Contents"/>
          <w:docPartUnique/>
        </w:docPartObj>
      </w:sdtPr>
      <w:sdtEndPr>
        <w:rPr>
          <w:rFonts w:ascii="Noto Sans CJK SC Regular" w:hAnsi="Noto Sans CJK SC Regular" w:eastAsia="Noto Sans CJK SC Regular" w:cs="Noto Sans CJK SC Regular"/>
          <w:sz w:val="24"/>
          <w:szCs w:val="24"/>
        </w:rPr>
      </w:sdtEndPr>
      <w:sdtContent>
        <w:p>
          <w:pPr>
            <w:pStyle w:val="BodyText"/>
            <w:ind w:left="809"/>
            <w:spacing w:before="211" w:line="201" w:lineRule="auto"/>
            <w:rPr>
              <w:sz w:val="24"/>
              <w:szCs w:val="24"/>
            </w:rPr>
          </w:pPr>
          <w:hyperlink w:history="true" w:anchor="bookmark31">
            <w:r>
              <w:rPr>
                <w:sz w:val="24"/>
                <w:szCs w:val="24"/>
                <w:color w:val="231F20"/>
              </w:rPr>
              <w:t>专题一</w:t>
            </w:r>
            <w:r>
              <w:rPr>
                <w:sz w:val="24"/>
                <w:szCs w:val="24"/>
                <w:color w:val="231F20"/>
                <w:spacing w:val="9"/>
              </w:rPr>
              <w:t xml:space="preserve">    </w:t>
            </w:r>
            <w:r>
              <w:rPr>
                <w:sz w:val="24"/>
                <w:szCs w:val="24"/>
                <w:color w:val="231F20"/>
              </w:rPr>
              <w:t>央行金融机构评级结果分析      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72</w:t>
            </w:r>
          </w:hyperlink>
        </w:p>
        <w:p>
          <w:pPr>
            <w:pStyle w:val="BodyText"/>
            <w:ind w:left="809"/>
            <w:spacing w:before="13" w:line="201" w:lineRule="auto"/>
            <w:rPr>
              <w:sz w:val="24"/>
              <w:szCs w:val="24"/>
            </w:rPr>
          </w:pPr>
          <w:hyperlink w:history="true" w:anchor="bookmark32">
            <w:r>
              <w:rPr>
                <w:sz w:val="24"/>
                <w:szCs w:val="24"/>
                <w:color w:val="231F20"/>
              </w:rPr>
              <w:t>专题二</w:t>
            </w:r>
            <w:r>
              <w:rPr>
                <w:sz w:val="24"/>
                <w:szCs w:val="24"/>
                <w:color w:val="231F20"/>
                <w:spacing w:val="7"/>
              </w:rPr>
              <w:t xml:space="preserve">    </w:t>
            </w:r>
            <w:r>
              <w:rPr>
                <w:sz w:val="24"/>
                <w:szCs w:val="24"/>
                <w:color w:val="231F20"/>
              </w:rPr>
              <w:t>银行业压力测试        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            74</w:t>
            </w:r>
          </w:hyperlink>
        </w:p>
        <w:p>
          <w:pPr>
            <w:pStyle w:val="BodyText"/>
            <w:ind w:left="809"/>
            <w:spacing w:before="13" w:line="201" w:lineRule="auto"/>
            <w:rPr>
              <w:sz w:val="24"/>
              <w:szCs w:val="24"/>
            </w:rPr>
          </w:pPr>
          <w:hyperlink w:history="true" w:anchor="bookmark33">
            <w:r>
              <w:rPr>
                <w:sz w:val="24"/>
                <w:szCs w:val="24"/>
                <w:color w:val="231F20"/>
              </w:rPr>
              <w:t>专题三</w:t>
            </w:r>
            <w:r>
              <w:rPr>
                <w:sz w:val="24"/>
                <w:szCs w:val="24"/>
                <w:color w:val="231F20"/>
                <w:spacing w:val="7"/>
              </w:rPr>
              <w:t xml:space="preserve">    </w:t>
            </w:r>
            <w:r>
              <w:rPr>
                <w:sz w:val="24"/>
                <w:szCs w:val="24"/>
                <w:color w:val="231F20"/>
              </w:rPr>
              <w:t>银行业气候风险分析                     </w:t>
            </w:r>
            <w:r>
              <w:rPr>
                <w:sz w:val="24"/>
                <w:szCs w:val="24"/>
                <w:color w:val="231F20"/>
                <w:spacing w:val="-1"/>
              </w:rPr>
              <w:t xml:space="preserve">                                                 80</w:t>
            </w:r>
          </w:hyperlink>
        </w:p>
        <w:p>
          <w:pPr>
            <w:pStyle w:val="BodyText"/>
            <w:ind w:left="809"/>
            <w:spacing w:before="13" w:line="201" w:lineRule="auto"/>
            <w:rPr>
              <w:sz w:val="24"/>
              <w:szCs w:val="24"/>
            </w:rPr>
          </w:pPr>
          <w:hyperlink w:history="true" w:anchor="bookmark34">
            <w:r>
              <w:rPr>
                <w:sz w:val="24"/>
                <w:szCs w:val="24"/>
                <w:color w:val="231F20"/>
              </w:rPr>
              <w:t>专题四    存款保险制度实施十年     有力保障金融稳定和安全           83</w:t>
            </w:r>
          </w:hyperlink>
        </w:p>
      </w:sdtContent>
    </w:sdt>
    <w:p>
      <w:pPr>
        <w:pStyle w:val="BodyText"/>
        <w:spacing w:before="96" w:line="560" w:lineRule="exact"/>
        <w:rPr/>
      </w:pPr>
      <w:r>
        <w:rPr>
          <w:position w:val="-11"/>
        </w:rPr>
        <w:pict>
          <v:shape id="_x0000_s44" style="mso-position-vertical-relative:line;mso-position-horizontal-relative:char;width:439.4pt;height:28pt;" fillcolor="#D4E5F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367"/>
                    <w:spacing w:before="135" w:line="204" w:lineRule="auto"/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</w:rPr>
                  </w:pP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附录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9"/>
                    </w:rPr>
                    <w:t xml:space="preserve">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1"/>
                    </w:rPr>
                    <w:t>统计资料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-1"/>
                    </w:rPr>
                    <w:t xml:space="preserve">      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color w:val="174B8B"/>
                      <w:spacing w:val="-2"/>
                    </w:rPr>
                    <w:t xml:space="preserve">                                                                  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8"/>
                      <w:szCs w:val="28"/>
                      <w:b/>
                      <w:bCs/>
                      <w:color w:val="174B8B"/>
                      <w:spacing w:val="-2"/>
                    </w:rPr>
                    <w:t>87</w:t>
                  </w:r>
                </w:p>
              </w:txbxContent>
            </v:textbox>
          </v:shape>
        </w:pict>
      </w:r>
    </w:p>
    <w:p>
      <w:pPr>
        <w:spacing w:line="560" w:lineRule="exact"/>
        <w:sectPr>
          <w:type w:val="continuous"/>
          <w:pgSz w:w="11906" w:h="16158"/>
          <w:pgMar w:top="400" w:right="1700" w:bottom="400" w:left="204" w:header="0" w:footer="0" w:gutter="0"/>
          <w:cols w:equalWidth="0" w:num="2">
            <w:col w:w="1114" w:space="100"/>
            <w:col w:w="8788" w:space="0"/>
          </w:cols>
        </w:sectPr>
        <w:rPr/>
      </w:pPr>
    </w:p>
    <w:p>
      <w:pPr>
        <w:pStyle w:val="BodyText"/>
        <w:ind w:left="8158"/>
        <w:spacing w:before="336" w:line="344" w:lineRule="exact"/>
        <w:rPr>
          <w:rFonts w:ascii="DejaVu Sans" w:hAnsi="DejaVu Sans" w:eastAsia="DejaVu Sans" w:cs="DejaVu Sans"/>
          <w:sz w:val="29"/>
          <w:szCs w:val="29"/>
        </w:rPr>
      </w:pP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4791060</wp:posOffset>
            </wp:positionH>
            <wp:positionV relativeFrom="page">
              <wp:posOffset>449999</wp:posOffset>
            </wp:positionV>
            <wp:extent cx="337500" cy="292349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00" cy="2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  <w:szCs w:val="29"/>
          <w:color w:val="174B8B"/>
          <w:spacing w:val="-6"/>
          <w:position w:val="3"/>
        </w:rPr>
        <w:t>中国金融稳定报告</w:t>
      </w:r>
      <w:r>
        <w:rPr>
          <w:sz w:val="29"/>
          <w:szCs w:val="29"/>
          <w:color w:val="174B8B"/>
          <w:spacing w:val="-6"/>
          <w:position w:val="3"/>
        </w:rPr>
        <w:t xml:space="preserve"> </w:t>
      </w:r>
      <w:r>
        <w:rPr>
          <w:rFonts w:ascii="DejaVu Sans" w:hAnsi="DejaVu Sans" w:eastAsia="DejaVu Sans" w:cs="DejaVu Sans"/>
          <w:sz w:val="29"/>
          <w:szCs w:val="29"/>
          <w:color w:val="174B8B"/>
          <w:spacing w:val="-6"/>
          <w:position w:val="-6"/>
        </w:rPr>
        <w:t>2025</w:t>
      </w:r>
    </w:p>
    <w:p>
      <w:pPr>
        <w:ind w:left="8164"/>
        <w:spacing w:line="221" w:lineRule="auto"/>
        <w:rPr>
          <w:rFonts w:ascii="DejaVu Sans" w:hAnsi="DejaVu Sans" w:eastAsia="DejaVu Sans" w:cs="DejaVu Sans"/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china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29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4"/>
        </w:rPr>
        <w:t>Financial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21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stability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Report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ind w:left="5242"/>
        <w:spacing w:before="346" w:line="176" w:lineRule="auto"/>
        <w:rPr>
          <w:sz w:val="72"/>
          <w:szCs w:val="72"/>
        </w:rPr>
      </w:pPr>
      <w:r>
        <w:rPr>
          <w:sz w:val="72"/>
          <w:szCs w:val="72"/>
          <w:color w:val="174B8B"/>
          <w:spacing w:val="-10"/>
        </w:rPr>
        <w:t>第一章</w:t>
      </w:r>
    </w:p>
    <w:p>
      <w:pPr>
        <w:pStyle w:val="BodyText"/>
        <w:ind w:left="4043"/>
        <w:spacing w:line="182" w:lineRule="auto"/>
        <w:rPr>
          <w:sz w:val="76"/>
          <w:szCs w:val="76"/>
        </w:rPr>
      </w:pPr>
      <w:r>
        <w:rPr>
          <w:sz w:val="76"/>
          <w:szCs w:val="76"/>
          <w:color w:val="174B8B"/>
          <w:spacing w:val="-5"/>
        </w:rPr>
        <w:t>宏观经济运行</w:t>
      </w:r>
    </w:p>
    <w:p>
      <w:pPr>
        <w:spacing w:line="182" w:lineRule="auto"/>
        <w:sectPr>
          <w:headerReference w:type="default" r:id="rId9"/>
          <w:pgSz w:w="11906" w:h="16158"/>
          <w:pgMar w:top="400" w:right="0" w:bottom="400" w:left="0" w:header="0" w:footer="0" w:gutter="0"/>
        </w:sectPr>
        <w:rPr>
          <w:sz w:val="76"/>
          <w:szCs w:val="76"/>
        </w:rPr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spacing w:before="143"/>
        <w:rPr/>
      </w:pPr>
      <w:r/>
    </w:p>
    <w:p>
      <w:pPr>
        <w:sectPr>
          <w:headerReference w:type="default" r:id="rId11"/>
          <w:pgSz w:w="11906" w:h="16158"/>
          <w:pgMar w:top="1384" w:right="1415" w:bottom="400" w:left="1703" w:header="1061" w:footer="0" w:gutter="0"/>
          <w:cols w:equalWidth="0" w:num="1">
            <w:col w:w="8787" w:space="0"/>
          </w:cols>
        </w:sectPr>
        <w:rPr/>
      </w:pPr>
    </w:p>
    <w:p>
      <w:pPr>
        <w:pStyle w:val="BodyText"/>
        <w:ind w:left="480"/>
        <w:spacing w:before="61" w:line="173" w:lineRule="auto"/>
        <w:outlineLvl w:val="0"/>
        <w:rPr>
          <w:sz w:val="28"/>
          <w:szCs w:val="28"/>
        </w:rPr>
      </w:pPr>
      <w:bookmarkStart w:name="bookmark35" w:id="2"/>
      <w:bookmarkEnd w:id="2"/>
      <w:bookmarkStart w:name="bookmark1" w:id="3"/>
      <w:bookmarkEnd w:id="3"/>
      <w:r>
        <w:rPr>
          <w:sz w:val="28"/>
          <w:szCs w:val="28"/>
          <w:color w:val="174B8B"/>
          <w:spacing w:val="-3"/>
        </w:rPr>
        <w:t>一、国际经济金融形势</w:t>
      </w:r>
    </w:p>
    <w:p>
      <w:pPr>
        <w:pStyle w:val="BodyText"/>
        <w:ind w:left="2" w:right="357" w:firstLine="424"/>
        <w:spacing w:before="428" w:line="256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年，全球经济增长动能趋弱，国别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9"/>
        </w:rPr>
        <w:t>分化日趋明显，地缘政治局势已成为干扰全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球经济复苏的最大不确定性因素。发达经济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体通胀压力有所缓解，但物价回落的持续性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仍有待观察。财政可持续性值得关注。全球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金融市场波动加剧。</w:t>
      </w:r>
    </w:p>
    <w:p>
      <w:pPr>
        <w:pStyle w:val="BodyText"/>
        <w:ind w:left="415"/>
        <w:spacing w:before="105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（一）主要发达经济体经济形势</w:t>
      </w:r>
    </w:p>
    <w:p>
      <w:pPr>
        <w:pStyle w:val="BodyText"/>
        <w:ind w:right="357" w:firstLine="427"/>
        <w:spacing w:before="239" w:line="253" w:lineRule="auto"/>
        <w:jc w:val="both"/>
        <w:rPr/>
      </w:pPr>
      <w:r>
        <w:rPr>
          <w:color w:val="231F20"/>
          <w:spacing w:val="3"/>
        </w:rPr>
        <w:t>发达经济体复苏分化。  美国经济保持韧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9"/>
        </w:rPr>
        <w:t>性，得益于内需较为强劲，全年国内生产总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7"/>
        </w:rPr>
        <w:t>值（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7"/>
        </w:rPr>
        <w:t>）同比增长</w:t>
      </w:r>
      <w:r>
        <w:rPr>
          <w:rFonts w:ascii="Times New Roman" w:hAnsi="Times New Roman" w:eastAsia="Times New Roman" w:cs="Times New Roman"/>
          <w:color w:val="231F20"/>
          <w:spacing w:val="7"/>
        </w:rPr>
        <w:t>2.8%</w:t>
      </w:r>
      <w:r>
        <w:rPr>
          <w:color w:val="231F20"/>
          <w:spacing w:val="7"/>
        </w:rPr>
        <w:t>，略低于</w:t>
      </w:r>
      <w:r>
        <w:rPr>
          <w:rFonts w:ascii="Times New Roman" w:hAnsi="Times New Roman" w:eastAsia="Times New Roman" w:cs="Times New Roman"/>
          <w:color w:val="231F20"/>
          <w:spacing w:val="7"/>
        </w:rPr>
        <w:t>2023</w:t>
      </w:r>
      <w:r>
        <w:rPr>
          <w:color w:val="231F20"/>
          <w:spacing w:val="7"/>
        </w:rPr>
        <w:t>年的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2.9%</w:t>
      </w:r>
      <w:r>
        <w:rPr>
          <w:color w:val="231F20"/>
          <w:spacing w:val="6"/>
        </w:rPr>
        <w:t>，高于新冠疫情三年（</w:t>
      </w:r>
      <w:r>
        <w:rPr>
          <w:rFonts w:ascii="Times New Roman" w:hAnsi="Times New Roman" w:eastAsia="Times New Roman" w:cs="Times New Roman"/>
          <w:color w:val="231F20"/>
          <w:spacing w:val="6"/>
        </w:rPr>
        <w:t>2020</w:t>
      </w:r>
      <w:r>
        <w:rPr>
          <w:color w:val="231F20"/>
          <w:spacing w:val="6"/>
        </w:rPr>
        <w:t>—</w:t>
      </w:r>
      <w:r>
        <w:rPr>
          <w:rFonts w:ascii="Times New Roman" w:hAnsi="Times New Roman" w:eastAsia="Times New Roman" w:cs="Times New Roman"/>
          <w:color w:val="231F20"/>
          <w:spacing w:val="6"/>
        </w:rPr>
        <w:t>2022</w:t>
      </w:r>
      <w:r>
        <w:rPr>
          <w:color w:val="231F20"/>
          <w:spacing w:val="6"/>
        </w:rPr>
        <w:t>年）</w:t>
      </w:r>
      <w:r>
        <w:rPr>
          <w:color w:val="231F20"/>
        </w:rPr>
        <w:t xml:space="preserve">  </w:t>
      </w:r>
      <w:r>
        <w:rPr>
          <w:color w:val="231F20"/>
          <w:spacing w:val="1"/>
        </w:rPr>
        <w:t>平均增速</w:t>
      </w:r>
      <w:r>
        <w:rPr>
          <w:rFonts w:ascii="Times New Roman" w:hAnsi="Times New Roman" w:eastAsia="Times New Roman" w:cs="Times New Roman"/>
          <w:color w:val="231F20"/>
          <w:spacing w:val="1"/>
        </w:rPr>
        <w:t>1</w:t>
      </w:r>
      <w:r>
        <w:rPr>
          <w:color w:val="231F20"/>
          <w:spacing w:val="1"/>
        </w:rPr>
        <w:t>个百分点。欧元区经济较为疲软，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10"/>
        </w:rPr>
        <w:t>受能源价格高企等因素影响，全年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10"/>
        </w:rPr>
        <w:t>同比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4"/>
        </w:rPr>
        <w:t>仅增长</w:t>
      </w:r>
      <w:r>
        <w:rPr>
          <w:rFonts w:ascii="Times New Roman" w:hAnsi="Times New Roman" w:eastAsia="Times New Roman" w:cs="Times New Roman"/>
          <w:color w:val="231F20"/>
          <w:spacing w:val="14"/>
        </w:rPr>
        <w:t>0.9%</w:t>
      </w:r>
      <w:r>
        <w:rPr>
          <w:color w:val="231F20"/>
          <w:spacing w:val="14"/>
        </w:rPr>
        <w:t>，略高于</w:t>
      </w:r>
      <w:r>
        <w:rPr>
          <w:rFonts w:ascii="Times New Roman" w:hAnsi="Times New Roman" w:eastAsia="Times New Roman" w:cs="Times New Roman"/>
          <w:color w:val="231F20"/>
          <w:spacing w:val="14"/>
        </w:rPr>
        <w:t>2023</w:t>
      </w:r>
      <w:r>
        <w:rPr>
          <w:color w:val="231F20"/>
          <w:spacing w:val="14"/>
        </w:rPr>
        <w:t>年的</w:t>
      </w:r>
      <w:r>
        <w:rPr>
          <w:rFonts w:ascii="Times New Roman" w:hAnsi="Times New Roman" w:eastAsia="Times New Roman" w:cs="Times New Roman"/>
          <w:color w:val="231F20"/>
          <w:spacing w:val="14"/>
        </w:rPr>
        <w:t>0.4%</w:t>
      </w:r>
      <w:r>
        <w:rPr>
          <w:color w:val="231F20"/>
          <w:spacing w:val="14"/>
        </w:rPr>
        <w:t>，显著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>低于</w:t>
      </w:r>
      <w:r>
        <w:rPr>
          <w:rFonts w:ascii="Times New Roman" w:hAnsi="Times New Roman" w:eastAsia="Times New Roman" w:cs="Times New Roman"/>
          <w:color w:val="231F20"/>
          <w:spacing w:val="6"/>
        </w:rPr>
        <w:t>2022</w:t>
      </w:r>
      <w:r>
        <w:rPr>
          <w:color w:val="231F20"/>
          <w:spacing w:val="6"/>
        </w:rPr>
        <w:t>年的</w:t>
      </w:r>
      <w:r>
        <w:rPr>
          <w:rFonts w:ascii="Times New Roman" w:hAnsi="Times New Roman" w:eastAsia="Times New Roman" w:cs="Times New Roman"/>
          <w:color w:val="231F20"/>
          <w:spacing w:val="6"/>
        </w:rPr>
        <w:t>3.6%</w:t>
      </w:r>
      <w:r>
        <w:rPr>
          <w:color w:val="231F20"/>
          <w:spacing w:val="6"/>
        </w:rPr>
        <w:t>。日本经济复苏基础尚不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0"/>
        </w:rPr>
        <w:t>牢固，内需总体偏弱，全年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10"/>
        </w:rPr>
        <w:t>同比仅增长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0.1%</w:t>
      </w:r>
      <w:r>
        <w:rPr>
          <w:color w:val="231F20"/>
          <w:spacing w:val="12"/>
        </w:rPr>
        <w:t>，低于</w:t>
      </w:r>
      <w:r>
        <w:rPr>
          <w:rFonts w:ascii="Times New Roman" w:hAnsi="Times New Roman" w:eastAsia="Times New Roman" w:cs="Times New Roman"/>
          <w:color w:val="231F20"/>
          <w:spacing w:val="12"/>
        </w:rPr>
        <w:t>2023</w:t>
      </w:r>
      <w:r>
        <w:rPr>
          <w:color w:val="231F20"/>
          <w:spacing w:val="12"/>
        </w:rPr>
        <w:t>年的</w:t>
      </w:r>
      <w:r>
        <w:rPr>
          <w:rFonts w:ascii="Times New Roman" w:hAnsi="Times New Roman" w:eastAsia="Times New Roman" w:cs="Times New Roman"/>
          <w:color w:val="231F20"/>
          <w:spacing w:val="12"/>
        </w:rPr>
        <w:t>1.5%</w:t>
      </w:r>
      <w:r>
        <w:rPr>
          <w:color w:val="231F20"/>
          <w:spacing w:val="12"/>
        </w:rPr>
        <w:t>和</w:t>
      </w:r>
      <w:r>
        <w:rPr>
          <w:rFonts w:ascii="Times New Roman" w:hAnsi="Times New Roman" w:eastAsia="Times New Roman" w:cs="Times New Roman"/>
          <w:color w:val="231F20"/>
          <w:spacing w:val="12"/>
        </w:rPr>
        <w:t>2022</w:t>
      </w:r>
      <w:r>
        <w:rPr>
          <w:color w:val="231F20"/>
          <w:spacing w:val="12"/>
        </w:rPr>
        <w:t>年</w:t>
      </w:r>
      <w:r>
        <w:rPr>
          <w:color w:val="231F20"/>
          <w:spacing w:val="11"/>
        </w:rPr>
        <w:t>的</w:t>
      </w:r>
      <w:r>
        <w:rPr>
          <w:rFonts w:ascii="Times New Roman" w:hAnsi="Times New Roman" w:eastAsia="Times New Roman" w:cs="Times New Roman"/>
          <w:color w:val="231F20"/>
          <w:spacing w:val="11"/>
        </w:rPr>
        <w:t>0.9%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3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-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）。</w:t>
      </w:r>
    </w:p>
    <w:p>
      <w:pPr>
        <w:pStyle w:val="BodyText"/>
        <w:ind w:left="285"/>
        <w:spacing w:before="223" w:line="134" w:lineRule="exact"/>
        <w:rPr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86303A"/>
          <w:spacing w:val="5"/>
          <w:position w:val="-1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86303A"/>
          <w:spacing w:val="-3"/>
          <w:position w:val="-1"/>
        </w:rPr>
        <w:t xml:space="preserve"> </w:t>
      </w:r>
      <w:r>
        <w:rPr>
          <w:sz w:val="14"/>
          <w:szCs w:val="14"/>
          <w:color w:val="231F20"/>
          <w:spacing w:val="5"/>
          <w:position w:val="-1"/>
        </w:rPr>
        <w:t>美国实际</w:t>
      </w:r>
      <w:r>
        <w:rPr>
          <w:sz w:val="14"/>
          <w:szCs w:val="14"/>
          <w:color w:val="231F20"/>
          <w:position w:val="-1"/>
        </w:rPr>
        <w:t>GDP</w:t>
      </w:r>
      <w:r>
        <w:rPr>
          <w:sz w:val="14"/>
          <w:szCs w:val="14"/>
          <w:color w:val="231F20"/>
          <w:spacing w:val="5"/>
          <w:position w:val="-1"/>
        </w:rPr>
        <w:t>环比折年率</w:t>
      </w:r>
      <w:r>
        <w:rPr>
          <w:sz w:val="14"/>
          <w:szCs w:val="14"/>
          <w:color w:val="231F20"/>
          <w:spacing w:val="10"/>
          <w:w w:val="101"/>
          <w:position w:val="-1"/>
        </w:rPr>
        <w:t xml:space="preserve">   </w:t>
      </w:r>
      <w:r>
        <w:rPr>
          <w:rFonts w:ascii="DejaVu Sans" w:hAnsi="DejaVu Sans" w:eastAsia="DejaVu Sans" w:cs="DejaVu Sans"/>
          <w:sz w:val="14"/>
          <w:szCs w:val="14"/>
          <w:color w:val="354C68"/>
          <w:spacing w:val="5"/>
          <w:position w:val="-1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354C68"/>
          <w:spacing w:val="-17"/>
          <w:position w:val="-1"/>
        </w:rPr>
        <w:t xml:space="preserve"> </w:t>
      </w:r>
      <w:r>
        <w:rPr>
          <w:sz w:val="14"/>
          <w:szCs w:val="14"/>
          <w:color w:val="231F20"/>
          <w:spacing w:val="5"/>
          <w:position w:val="-1"/>
        </w:rPr>
        <w:t>欧元区实际</w:t>
      </w:r>
      <w:r>
        <w:rPr>
          <w:sz w:val="14"/>
          <w:szCs w:val="14"/>
          <w:color w:val="231F20"/>
          <w:position w:val="-1"/>
        </w:rPr>
        <w:t>GDP</w:t>
      </w:r>
      <w:r>
        <w:rPr>
          <w:sz w:val="14"/>
          <w:szCs w:val="14"/>
          <w:color w:val="231F20"/>
          <w:spacing w:val="5"/>
          <w:position w:val="-1"/>
        </w:rPr>
        <w:t>环比折年率</w:t>
      </w:r>
    </w:p>
    <w:p>
      <w:pPr>
        <w:pStyle w:val="BodyText"/>
        <w:ind w:left="285"/>
        <w:spacing w:before="46" w:line="134" w:lineRule="exact"/>
        <w:rPr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C6DB63"/>
          <w:spacing w:val="2"/>
          <w:position w:val="-1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C6DB63"/>
          <w:spacing w:val="-4"/>
          <w:position w:val="-1"/>
        </w:rPr>
        <w:t xml:space="preserve"> </w:t>
      </w:r>
      <w:r>
        <w:rPr>
          <w:sz w:val="14"/>
          <w:szCs w:val="14"/>
          <w:color w:val="231F20"/>
          <w:spacing w:val="2"/>
          <w:position w:val="-1"/>
        </w:rPr>
        <w:t>日本实际</w:t>
      </w:r>
      <w:r>
        <w:rPr>
          <w:sz w:val="14"/>
          <w:szCs w:val="14"/>
          <w:color w:val="231F20"/>
          <w:position w:val="-1"/>
        </w:rPr>
        <w:t>GDP</w:t>
      </w:r>
      <w:r>
        <w:rPr>
          <w:sz w:val="14"/>
          <w:szCs w:val="14"/>
          <w:color w:val="231F20"/>
          <w:spacing w:val="2"/>
          <w:position w:val="-1"/>
        </w:rPr>
        <w:t>环比折年率</w:t>
      </w:r>
    </w:p>
    <w:p>
      <w:pPr>
        <w:ind w:firstLine="61"/>
        <w:spacing w:before="78" w:line="2289" w:lineRule="exact"/>
        <w:rPr/>
      </w:pPr>
      <w:r>
        <w:rPr>
          <w:position w:val="-45"/>
        </w:rPr>
        <w:drawing>
          <wp:inline distT="0" distB="0" distL="0" distR="0">
            <wp:extent cx="2565182" cy="1453728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5182" cy="145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87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图1-1</w:t>
      </w:r>
      <w:r>
        <w:rPr>
          <w:sz w:val="18"/>
          <w:szCs w:val="18"/>
          <w:color w:val="231F20"/>
          <w:spacing w:val="10"/>
          <w:w w:val="101"/>
        </w:rPr>
        <w:t xml:space="preserve">    </w:t>
      </w:r>
      <w:r>
        <w:rPr>
          <w:sz w:val="18"/>
          <w:szCs w:val="18"/>
          <w:color w:val="231F20"/>
        </w:rPr>
        <w:t>主要发达经济体经济增长率</w:t>
      </w:r>
    </w:p>
    <w:p>
      <w:pPr>
        <w:pStyle w:val="BodyText"/>
        <w:ind w:left="1066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（数据来源：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Wind</w:t>
      </w:r>
      <w:r>
        <w:rPr>
          <w:sz w:val="18"/>
          <w:szCs w:val="18"/>
          <w:color w:val="231F20"/>
        </w:rPr>
        <w:t>数据）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" w:firstLine="424"/>
        <w:spacing w:before="55" w:line="253" w:lineRule="auto"/>
        <w:rPr/>
      </w:pPr>
      <w:r>
        <w:rPr>
          <w:color w:val="231F20"/>
          <w:spacing w:val="9"/>
        </w:rPr>
        <w:t>劳动力市场保持强劲。   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rFonts w:ascii="Times New Roman" w:hAnsi="Times New Roman" w:eastAsia="Times New Roman" w:cs="Times New Roman"/>
          <w:color w:val="231F20"/>
          <w:spacing w:val="-8"/>
        </w:rPr>
        <w:t xml:space="preserve"> </w:t>
      </w:r>
      <w:r>
        <w:rPr>
          <w:color w:val="231F20"/>
          <w:spacing w:val="9"/>
        </w:rPr>
        <w:t>年，发达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经济体失业率普遍处于历史低位，美国、欧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元区、日本的失业率分别在</w:t>
      </w:r>
      <w:r>
        <w:rPr>
          <w:rFonts w:ascii="Times New Roman" w:hAnsi="Times New Roman" w:eastAsia="Times New Roman" w:cs="Times New Roman"/>
          <w:color w:val="231F20"/>
          <w:spacing w:val="9"/>
        </w:rPr>
        <w:t>3.7%</w:t>
      </w:r>
      <w:r>
        <w:rPr>
          <w:rFonts w:ascii="Times New Roman" w:hAnsi="Times New Roman" w:eastAsia="Times New Roman" w:cs="Times New Roman"/>
          <w:color w:val="231F20"/>
          <w:spacing w:val="-4"/>
        </w:rPr>
        <w:t xml:space="preserve"> </w:t>
      </w:r>
      <w:r>
        <w:rPr>
          <w:color w:val="231F20"/>
          <w:spacing w:val="9"/>
        </w:rPr>
        <w:t>～ </w:t>
      </w:r>
      <w:r>
        <w:rPr>
          <w:rFonts w:ascii="Times New Roman" w:hAnsi="Times New Roman" w:eastAsia="Times New Roman" w:cs="Times New Roman"/>
          <w:color w:val="231F20"/>
          <w:spacing w:val="9"/>
        </w:rPr>
        <w:t>4.2%</w:t>
      </w:r>
      <w:r>
        <w:rPr>
          <w:rFonts w:ascii="Times New Roman" w:hAnsi="Times New Roman" w:eastAsia="Times New Roman" w:cs="Times New Roman"/>
          <w:color w:val="231F20"/>
          <w:spacing w:val="-10"/>
        </w:rPr>
        <w:t xml:space="preserve"> </w:t>
      </w:r>
      <w:r>
        <w:rPr>
          <w:color w:val="231F20"/>
          <w:spacing w:val="9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6.2%</w:t>
      </w:r>
      <w:r>
        <w:rPr>
          <w:color w:val="231F20"/>
          <w:spacing w:val="12"/>
        </w:rPr>
        <w:t>～</w:t>
      </w:r>
      <w:r>
        <w:rPr>
          <w:rFonts w:ascii="Times New Roman" w:hAnsi="Times New Roman" w:eastAsia="Times New Roman" w:cs="Times New Roman"/>
          <w:color w:val="231F20"/>
          <w:spacing w:val="12"/>
        </w:rPr>
        <w:t>6.5%</w:t>
      </w:r>
      <w:r>
        <w:rPr>
          <w:color w:val="231F20"/>
          <w:spacing w:val="12"/>
        </w:rPr>
        <w:t>和</w:t>
      </w:r>
      <w:r>
        <w:rPr>
          <w:rFonts w:ascii="Times New Roman" w:hAnsi="Times New Roman" w:eastAsia="Times New Roman" w:cs="Times New Roman"/>
          <w:color w:val="231F20"/>
          <w:spacing w:val="12"/>
        </w:rPr>
        <w:t>2.4%</w:t>
      </w:r>
      <w:r>
        <w:rPr>
          <w:color w:val="231F20"/>
          <w:spacing w:val="12"/>
        </w:rPr>
        <w:t>～</w:t>
      </w:r>
      <w:r>
        <w:rPr>
          <w:rFonts w:ascii="Times New Roman" w:hAnsi="Times New Roman" w:eastAsia="Times New Roman" w:cs="Times New Roman"/>
          <w:color w:val="231F20"/>
          <w:spacing w:val="12"/>
        </w:rPr>
        <w:t>2.6%</w:t>
      </w:r>
      <w:r>
        <w:rPr>
          <w:color w:val="231F20"/>
          <w:spacing w:val="12"/>
        </w:rPr>
        <w:t>的区间</w:t>
      </w:r>
      <w:r>
        <w:rPr>
          <w:color w:val="231F20"/>
          <w:spacing w:val="11"/>
        </w:rPr>
        <w:t>窄幅波动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4"/>
        </w:rPr>
        <w:t>1</w:t>
      </w:r>
      <w:r>
        <w:rPr>
          <w:color w:val="231F20"/>
          <w:spacing w:val="4"/>
        </w:rPr>
        <w:t>-</w:t>
      </w:r>
      <w:r>
        <w:rPr>
          <w:rFonts w:ascii="Times New Roman" w:hAnsi="Times New Roman" w:eastAsia="Times New Roman" w:cs="Times New Roman"/>
          <w:color w:val="231F20"/>
          <w:spacing w:val="4"/>
        </w:rPr>
        <w:t>2</w:t>
      </w:r>
      <w:r>
        <w:rPr>
          <w:color w:val="231F20"/>
          <w:spacing w:val="4"/>
        </w:rPr>
        <w:t>）。劳动力市场的供需失衡问题在 </w:t>
      </w:r>
      <w:r>
        <w:rPr>
          <w:color w:val="231F20"/>
          <w:spacing w:val="8"/>
        </w:rPr>
        <w:t>一定程度上得到缓解，美国</w:t>
      </w:r>
      <w:r>
        <w:rPr>
          <w:rFonts w:ascii="Times New Roman" w:hAnsi="Times New Roman" w:eastAsia="Times New Roman" w:cs="Times New Roman"/>
          <w:color w:val="231F20"/>
          <w:spacing w:val="8"/>
        </w:rPr>
        <w:t>12</w:t>
      </w:r>
      <w:r>
        <w:rPr>
          <w:color w:val="231F20"/>
          <w:spacing w:val="8"/>
        </w:rPr>
        <w:t>月劳动参与率 </w:t>
      </w:r>
      <w:r>
        <w:rPr>
          <w:color w:val="231F20"/>
          <w:spacing w:val="4"/>
        </w:rPr>
        <w:t>为</w:t>
      </w:r>
      <w:r>
        <w:rPr>
          <w:rFonts w:ascii="Times New Roman" w:hAnsi="Times New Roman" w:eastAsia="Times New Roman" w:cs="Times New Roman"/>
          <w:color w:val="231F20"/>
          <w:spacing w:val="4"/>
        </w:rPr>
        <w:t>62.5%</w:t>
      </w:r>
      <w:r>
        <w:rPr>
          <w:color w:val="231F20"/>
          <w:spacing w:val="4"/>
        </w:rPr>
        <w:t>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4"/>
        </w:rPr>
        <w:t>全年月均职位空缺数为</w:t>
      </w:r>
      <w:r>
        <w:rPr>
          <w:rFonts w:ascii="Times New Roman" w:hAnsi="Times New Roman" w:eastAsia="Times New Roman" w:cs="Times New Roman"/>
          <w:color w:val="231F20"/>
          <w:spacing w:val="4"/>
        </w:rPr>
        <w:t>778</w:t>
      </w:r>
      <w:r>
        <w:rPr>
          <w:color w:val="231F20"/>
          <w:spacing w:val="4"/>
        </w:rPr>
        <w:t>万个，</w:t>
      </w:r>
      <w:r>
        <w:rPr>
          <w:color w:val="231F20"/>
        </w:rPr>
        <w:t xml:space="preserve">  </w:t>
      </w:r>
      <w:r>
        <w:rPr>
          <w:color w:val="231F20"/>
          <w:spacing w:val="7"/>
        </w:rPr>
        <w:t>欧元区第四季度职位空缺率为</w:t>
      </w:r>
      <w:r>
        <w:rPr>
          <w:rFonts w:ascii="Times New Roman" w:hAnsi="Times New Roman" w:eastAsia="Times New Roman" w:cs="Times New Roman"/>
          <w:color w:val="231F20"/>
          <w:spacing w:val="7"/>
        </w:rPr>
        <w:t>2.5%</w:t>
      </w:r>
      <w:r>
        <w:rPr>
          <w:color w:val="231F20"/>
          <w:spacing w:val="7"/>
        </w:rPr>
        <w:t>，日</w:t>
      </w:r>
      <w:r>
        <w:rPr>
          <w:color w:val="231F20"/>
          <w:spacing w:val="6"/>
        </w:rPr>
        <w:t>本全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年月均岗位数与求职人数比率为</w:t>
      </w:r>
      <w:r>
        <w:rPr>
          <w:rFonts w:ascii="Times New Roman" w:hAnsi="Times New Roman" w:eastAsia="Times New Roman" w:cs="Times New Roman"/>
          <w:color w:val="231F20"/>
          <w:spacing w:val="-5"/>
        </w:rPr>
        <w:t>1.25</w:t>
      </w:r>
      <w:r>
        <w:rPr>
          <w:color w:val="231F20"/>
          <w:spacing w:val="-5"/>
        </w:rPr>
        <w:t>∶</w:t>
      </w:r>
      <w:r>
        <w:rPr>
          <w:rFonts w:ascii="Times New Roman" w:hAnsi="Times New Roman" w:eastAsia="Times New Roman" w:cs="Times New Roman"/>
          <w:color w:val="231F20"/>
          <w:spacing w:val="-5"/>
        </w:rPr>
        <w:t>1</w:t>
      </w:r>
      <w:r>
        <w:rPr>
          <w:color w:val="231F20"/>
          <w:spacing w:val="-5"/>
        </w:rPr>
        <w:t>，均已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接近疫情前水平。</w:t>
      </w:r>
    </w:p>
    <w:p>
      <w:pPr>
        <w:pStyle w:val="BodyText"/>
        <w:ind w:left="653"/>
        <w:spacing w:before="106" w:line="133" w:lineRule="exact"/>
        <w:rPr>
          <w:sz w:val="13"/>
          <w:szCs w:val="13"/>
        </w:rPr>
      </w:pPr>
      <w:r>
        <w:drawing>
          <wp:anchor distT="0" distB="0" distL="0" distR="0" simplePos="0" relativeHeight="251686912" behindDoc="1" locked="0" layoutInCell="1" allowOverlap="1">
            <wp:simplePos x="0" y="0"/>
            <wp:positionH relativeFrom="column">
              <wp:posOffset>1049870</wp:posOffset>
            </wp:positionH>
            <wp:positionV relativeFrom="paragraph">
              <wp:posOffset>106461</wp:posOffset>
            </wp:positionV>
            <wp:extent cx="125996" cy="6350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599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eastAsia="DejaVu Sans" w:cs="DejaVu Sans"/>
          <w:sz w:val="13"/>
          <w:szCs w:val="13"/>
          <w:color w:val="7A2E37"/>
          <w:spacing w:val="20"/>
          <w:position w:val="-1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7A2E37"/>
          <w:spacing w:val="-19"/>
          <w:position w:val="-1"/>
        </w:rPr>
        <w:t xml:space="preserve"> </w:t>
      </w:r>
      <w:r>
        <w:rPr>
          <w:sz w:val="13"/>
          <w:szCs w:val="13"/>
          <w:color w:val="231F20"/>
          <w:spacing w:val="20"/>
          <w:position w:val="-1"/>
        </w:rPr>
        <w:t>美国失业率</w:t>
      </w:r>
      <w:r>
        <w:rPr>
          <w:sz w:val="13"/>
          <w:szCs w:val="13"/>
          <w:color w:val="231F20"/>
          <w:spacing w:val="23"/>
          <w:w w:val="102"/>
          <w:position w:val="-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344862"/>
          <w:spacing w:val="20"/>
          <w:position w:val="-1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344862"/>
          <w:spacing w:val="-20"/>
          <w:position w:val="-1"/>
        </w:rPr>
        <w:t xml:space="preserve"> </w:t>
      </w:r>
      <w:r>
        <w:rPr>
          <w:sz w:val="13"/>
          <w:szCs w:val="13"/>
          <w:color w:val="231F20"/>
          <w:spacing w:val="20"/>
          <w:position w:val="-1"/>
        </w:rPr>
        <w:t>欧元区失业率</w:t>
      </w:r>
      <w:r>
        <w:rPr>
          <w:sz w:val="13"/>
          <w:szCs w:val="13"/>
          <w:color w:val="231F20"/>
          <w:spacing w:val="26"/>
          <w:w w:val="101"/>
          <w:position w:val="-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C6DB63"/>
          <w:spacing w:val="20"/>
          <w:position w:val="-1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C6DB63"/>
          <w:spacing w:val="-12"/>
          <w:position w:val="-1"/>
        </w:rPr>
        <w:t xml:space="preserve"> </w:t>
      </w:r>
      <w:r>
        <w:rPr>
          <w:sz w:val="13"/>
          <w:szCs w:val="13"/>
          <w:color w:val="231F20"/>
          <w:spacing w:val="20"/>
          <w:position w:val="-1"/>
        </w:rPr>
        <w:t>日本失业率</w:t>
      </w:r>
    </w:p>
    <w:p>
      <w:pPr>
        <w:ind w:firstLine="72"/>
        <w:spacing w:before="35" w:line="2220" w:lineRule="exact"/>
        <w:rPr/>
      </w:pPr>
      <w:r>
        <w:rPr>
          <w:position w:val="-44"/>
        </w:rPr>
        <w:drawing>
          <wp:inline distT="0" distB="0" distL="0" distR="0">
            <wp:extent cx="2547455" cy="1409326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7455" cy="140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864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图1-2</w:t>
      </w:r>
      <w:r>
        <w:rPr>
          <w:sz w:val="18"/>
          <w:szCs w:val="18"/>
          <w:color w:val="231F20"/>
          <w:spacing w:val="7"/>
        </w:rPr>
        <w:t xml:space="preserve">    </w:t>
      </w:r>
      <w:r>
        <w:rPr>
          <w:sz w:val="18"/>
          <w:szCs w:val="18"/>
          <w:color w:val="231F20"/>
          <w:spacing w:val="1"/>
        </w:rPr>
        <w:t>主要发达经济体失业率</w:t>
      </w:r>
    </w:p>
    <w:p>
      <w:pPr>
        <w:pStyle w:val="BodyText"/>
        <w:ind w:left="1064"/>
        <w:spacing w:before="27" w:line="19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（数据来源：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Wind</w:t>
      </w:r>
      <w:r>
        <w:rPr>
          <w:sz w:val="18"/>
          <w:szCs w:val="18"/>
          <w:color w:val="231F20"/>
        </w:rPr>
        <w:t>数据）</w:t>
      </w:r>
    </w:p>
    <w:p>
      <w:pPr>
        <w:pStyle w:val="BodyText"/>
        <w:ind w:firstLine="427"/>
        <w:spacing w:before="195" w:line="239" w:lineRule="auto"/>
        <w:jc w:val="both"/>
        <w:rPr/>
      </w:pPr>
      <w:r>
        <w:rPr>
          <w:color w:val="231F20"/>
          <w:spacing w:val="23"/>
        </w:rPr>
        <w:t>美欧通胀压力有所缓解，日本通胀上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6"/>
        </w:rPr>
        <w:t>行。</w:t>
      </w:r>
      <w:r>
        <w:rPr>
          <w:rFonts w:ascii="Times New Roman" w:hAnsi="Times New Roman" w:eastAsia="Times New Roman" w:cs="Times New Roman"/>
          <w:color w:val="231F20"/>
          <w:spacing w:val="-6"/>
        </w:rPr>
        <w:t>2024</w:t>
      </w:r>
      <w:r>
        <w:rPr>
          <w:color w:val="231F20"/>
          <w:spacing w:val="-6"/>
        </w:rPr>
        <w:t>年</w:t>
      </w:r>
      <w:r>
        <w:rPr>
          <w:rFonts w:ascii="Times New Roman" w:hAnsi="Times New Roman" w:eastAsia="Times New Roman" w:cs="Times New Roman"/>
          <w:color w:val="231F20"/>
          <w:spacing w:val="-6"/>
        </w:rPr>
        <w:t>12</w:t>
      </w:r>
      <w:r>
        <w:rPr>
          <w:color w:val="231F20"/>
          <w:spacing w:val="-6"/>
        </w:rPr>
        <w:t>月，美国消费者物价指数</w:t>
      </w:r>
      <w:r>
        <w:rPr>
          <w:color w:val="231F20"/>
          <w:spacing w:val="-7"/>
        </w:rPr>
        <w:t>（</w:t>
      </w:r>
      <w:r>
        <w:rPr>
          <w:rFonts w:ascii="Times New Roman" w:hAnsi="Times New Roman" w:eastAsia="Times New Roman" w:cs="Times New Roman"/>
          <w:color w:val="231F20"/>
          <w:spacing w:val="-7"/>
        </w:rPr>
        <w:t>CPI</w:t>
      </w:r>
      <w:r>
        <w:rPr>
          <w:color w:val="231F20"/>
          <w:spacing w:val="-7"/>
        </w:rPr>
        <w:t>）</w:t>
      </w:r>
      <w:r>
        <w:rPr>
          <w:color w:val="231F20"/>
        </w:rPr>
        <w:t xml:space="preserve"> </w:t>
      </w:r>
      <w:r>
        <w:rPr>
          <w:color w:val="231F20"/>
          <w:spacing w:val="14"/>
        </w:rPr>
        <w:t>同比上涨</w:t>
      </w:r>
      <w:r>
        <w:rPr>
          <w:rFonts w:ascii="Times New Roman" w:hAnsi="Times New Roman" w:eastAsia="Times New Roman" w:cs="Times New Roman"/>
          <w:color w:val="231F20"/>
          <w:spacing w:val="14"/>
        </w:rPr>
        <w:t>2.9%</w:t>
      </w:r>
      <w:r>
        <w:rPr>
          <w:color w:val="231F20"/>
          <w:spacing w:val="14"/>
        </w:rPr>
        <w:t>，较上年同期下降</w:t>
      </w:r>
      <w:r>
        <w:rPr>
          <w:rFonts w:ascii="Times New Roman" w:hAnsi="Times New Roman" w:eastAsia="Times New Roman" w:cs="Times New Roman"/>
          <w:color w:val="231F20"/>
          <w:spacing w:val="14"/>
        </w:rPr>
        <w:t>0.5</w:t>
      </w:r>
      <w:r>
        <w:rPr>
          <w:color w:val="231F20"/>
          <w:spacing w:val="14"/>
        </w:rPr>
        <w:t>个百分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9"/>
        </w:rPr>
        <w:t>点，通胀降温主要是前期紧缩货币政策效应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不断显现、全球供应链逐步修复等多重因素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共同作用的结果。</w:t>
      </w:r>
      <w:r>
        <w:rPr>
          <w:color w:val="231F20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2024</w:t>
      </w:r>
      <w:r>
        <w:rPr>
          <w:color w:val="231F20"/>
          <w:spacing w:val="4"/>
        </w:rPr>
        <w:t>年</w:t>
      </w:r>
      <w:r>
        <w:rPr>
          <w:rFonts w:ascii="Times New Roman" w:hAnsi="Times New Roman" w:eastAsia="Times New Roman" w:cs="Times New Roman"/>
          <w:color w:val="231F20"/>
          <w:spacing w:val="4"/>
        </w:rPr>
        <w:t>12</w:t>
      </w:r>
      <w:r>
        <w:rPr>
          <w:color w:val="231F20"/>
          <w:spacing w:val="4"/>
        </w:rPr>
        <w:t>月，欧元区调和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消费者物价指数（</w:t>
      </w:r>
      <w:r>
        <w:rPr>
          <w:rFonts w:ascii="Times New Roman" w:hAnsi="Times New Roman" w:eastAsia="Times New Roman" w:cs="Times New Roman"/>
          <w:color w:val="231F20"/>
          <w:spacing w:val="-5"/>
        </w:rPr>
        <w:t>HICP</w:t>
      </w:r>
      <w:r>
        <w:rPr>
          <w:color w:val="231F20"/>
          <w:spacing w:val="-5"/>
        </w:rPr>
        <w:t>）同比上涨</w:t>
      </w:r>
      <w:r>
        <w:rPr>
          <w:rFonts w:ascii="Times New Roman" w:hAnsi="Times New Roman" w:eastAsia="Times New Roman" w:cs="Times New Roman"/>
          <w:color w:val="231F20"/>
          <w:spacing w:val="-5"/>
        </w:rPr>
        <w:t>2.4%</w:t>
      </w:r>
      <w:r>
        <w:rPr>
          <w:color w:val="231F20"/>
          <w:spacing w:val="-5"/>
        </w:rPr>
        <w:t>，</w:t>
      </w:r>
      <w:r>
        <w:rPr>
          <w:color w:val="231F20"/>
          <w:spacing w:val="-6"/>
        </w:rPr>
        <w:t>较上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年同期下降</w:t>
      </w:r>
      <w:r>
        <w:rPr>
          <w:rFonts w:ascii="Times New Roman" w:hAnsi="Times New Roman" w:eastAsia="Times New Roman" w:cs="Times New Roman"/>
          <w:color w:val="231F20"/>
          <w:spacing w:val="5"/>
        </w:rPr>
        <w:t>0.5</w:t>
      </w:r>
      <w:r>
        <w:rPr>
          <w:color w:val="231F20"/>
          <w:spacing w:val="5"/>
        </w:rPr>
        <w:t>个百分点，主要受需求疲软和</w:t>
      </w:r>
      <w:r>
        <w:rPr>
          <w:color w:val="231F20"/>
          <w:spacing w:val="14"/>
          <w:w w:val="102"/>
        </w:rPr>
        <w:t xml:space="preserve"> </w:t>
      </w:r>
      <w:r>
        <w:rPr>
          <w:color w:val="231F20"/>
          <w:spacing w:val="3"/>
        </w:rPr>
        <w:t>经济复苏放缓等因素影响。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12</w:t>
      </w:r>
      <w:r>
        <w:rPr>
          <w:color w:val="231F20"/>
          <w:spacing w:val="3"/>
        </w:rPr>
        <w:t>月，日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7"/>
        </w:rPr>
        <w:t>本</w:t>
      </w:r>
      <w:r>
        <w:rPr>
          <w:rFonts w:ascii="Times New Roman" w:hAnsi="Times New Roman" w:eastAsia="Times New Roman" w:cs="Times New Roman"/>
          <w:color w:val="231F20"/>
        </w:rPr>
        <w:t>CPI</w:t>
      </w:r>
      <w:r>
        <w:rPr>
          <w:color w:val="231F20"/>
          <w:spacing w:val="7"/>
        </w:rPr>
        <w:t>同比上涨</w:t>
      </w:r>
      <w:r>
        <w:rPr>
          <w:rFonts w:ascii="Times New Roman" w:hAnsi="Times New Roman" w:eastAsia="Times New Roman" w:cs="Times New Roman"/>
          <w:color w:val="231F20"/>
          <w:spacing w:val="7"/>
        </w:rPr>
        <w:t>3.6%</w:t>
      </w:r>
      <w:r>
        <w:rPr>
          <w:color w:val="231F20"/>
          <w:spacing w:val="7"/>
        </w:rPr>
        <w:t>，较上年同期上升</w:t>
      </w:r>
      <w:r>
        <w:rPr>
          <w:rFonts w:ascii="Times New Roman" w:hAnsi="Times New Roman" w:eastAsia="Times New Roman" w:cs="Times New Roman"/>
          <w:color w:val="231F20"/>
          <w:spacing w:val="7"/>
        </w:rPr>
        <w:t>1</w:t>
      </w:r>
      <w:r>
        <w:rPr>
          <w:color w:val="231F20"/>
          <w:spacing w:val="7"/>
        </w:rPr>
        <w:t>个百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分点，通胀升温主要受日元贬值、能源价格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高企等因素影响（见图</w:t>
      </w:r>
      <w:r>
        <w:rPr>
          <w:rFonts w:ascii="Times New Roman" w:hAnsi="Times New Roman" w:eastAsia="Times New Roman" w:cs="Times New Roman"/>
          <w:color w:val="231F20"/>
          <w:spacing w:val="1"/>
        </w:rPr>
        <w:t>1</w:t>
      </w:r>
      <w:r>
        <w:rPr>
          <w:color w:val="231F20"/>
          <w:spacing w:val="1"/>
        </w:rPr>
        <w:t>-</w:t>
      </w:r>
      <w:r>
        <w:rPr>
          <w:rFonts w:ascii="Times New Roman" w:hAnsi="Times New Roman" w:eastAsia="Times New Roman" w:cs="Times New Roman"/>
          <w:color w:val="231F20"/>
          <w:spacing w:val="1"/>
        </w:rPr>
        <w:t>3</w:t>
      </w:r>
      <w:r>
        <w:rPr>
          <w:color w:val="231F20"/>
          <w:spacing w:val="1"/>
        </w:rPr>
        <w:t>）。</w:t>
      </w:r>
    </w:p>
    <w:p>
      <w:pPr>
        <w:spacing w:line="239" w:lineRule="auto"/>
        <w:sectPr>
          <w:type w:val="continuous"/>
          <w:pgSz w:w="11906" w:h="16158"/>
          <w:pgMar w:top="1384" w:right="1415" w:bottom="400" w:left="1703" w:header="1061" w:footer="0" w:gutter="0"/>
          <w:cols w:equalWidth="0" w:num="2">
            <w:col w:w="4523" w:space="100"/>
            <w:col w:w="4164" w:space="0"/>
          </w:cols>
        </w:sectPr>
        <w:rPr/>
      </w:pPr>
    </w:p>
    <w:p>
      <w:pPr>
        <w:spacing w:before="169"/>
        <w:rPr/>
      </w:pPr>
      <w:r/>
    </w:p>
    <w:p>
      <w:pPr>
        <w:sectPr>
          <w:headerReference w:type="default" r:id="rId15"/>
          <w:footerReference w:type="default" r:id="rId16"/>
          <w:pgSz w:w="11906" w:h="16158"/>
          <w:pgMar w:top="1367" w:right="1700" w:bottom="2064" w:left="1417" w:header="1044" w:footer="1731" w:gutter="0"/>
          <w:cols w:equalWidth="0" w:num="1">
            <w:col w:w="8789" w:space="0"/>
          </w:cols>
        </w:sectPr>
        <w:rPr/>
      </w:pPr>
    </w:p>
    <w:p>
      <w:pPr>
        <w:pStyle w:val="BodyText"/>
        <w:ind w:left="231" w:right="574" w:firstLine="179"/>
        <w:spacing w:before="43" w:line="235" w:lineRule="auto"/>
        <w:rPr>
          <w:rFonts w:ascii="DejaVu Sans" w:hAnsi="DejaVu Sans" w:eastAsia="DejaVu Sans" w:cs="DejaVu Sans"/>
          <w:sz w:val="10"/>
          <w:szCs w:val="10"/>
        </w:rPr>
      </w:pPr>
      <w:r>
        <w:rPr>
          <w:rFonts w:ascii="DejaVu Sans" w:hAnsi="DejaVu Sans" w:eastAsia="DejaVu Sans" w:cs="DejaVu Sans"/>
          <w:sz w:val="14"/>
          <w:szCs w:val="14"/>
          <w:color w:val="812F39"/>
          <w:spacing w:val="8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812F39"/>
          <w:spacing w:val="-8"/>
        </w:rPr>
        <w:t xml:space="preserve"> </w:t>
      </w:r>
      <w:r>
        <w:rPr>
          <w:sz w:val="14"/>
          <w:szCs w:val="14"/>
          <w:color w:val="231F20"/>
          <w:spacing w:val="8"/>
        </w:rPr>
        <w:t>美国</w:t>
      </w:r>
      <w:r>
        <w:rPr>
          <w:sz w:val="14"/>
          <w:szCs w:val="14"/>
          <w:color w:val="231F20"/>
        </w:rPr>
        <w:t>CPI</w:t>
      </w:r>
      <w:r>
        <w:rPr>
          <w:sz w:val="14"/>
          <w:szCs w:val="14"/>
          <w:color w:val="231F20"/>
          <w:spacing w:val="8"/>
        </w:rPr>
        <w:t>同比</w:t>
      </w:r>
      <w:r>
        <w:rPr>
          <w:sz w:val="14"/>
          <w:szCs w:val="14"/>
          <w:color w:val="231F20"/>
          <w:spacing w:val="8"/>
        </w:rPr>
        <w:t xml:space="preserve">    </w:t>
      </w:r>
      <w:r>
        <w:rPr>
          <w:rFonts w:ascii="DejaVu Sans" w:hAnsi="DejaVu Sans" w:eastAsia="DejaVu Sans" w:cs="DejaVu Sans"/>
          <w:sz w:val="14"/>
          <w:szCs w:val="14"/>
          <w:color w:val="354C68"/>
          <w:spacing w:val="8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354C68"/>
          <w:spacing w:val="-18"/>
        </w:rPr>
        <w:t xml:space="preserve"> </w:t>
      </w:r>
      <w:r>
        <w:rPr>
          <w:sz w:val="14"/>
          <w:szCs w:val="14"/>
          <w:color w:val="231F20"/>
          <w:spacing w:val="8"/>
        </w:rPr>
        <w:t>欧元区</w:t>
      </w:r>
      <w:r>
        <w:rPr>
          <w:sz w:val="14"/>
          <w:szCs w:val="14"/>
          <w:color w:val="231F20"/>
        </w:rPr>
        <w:t>HICP</w:t>
      </w:r>
      <w:r>
        <w:rPr>
          <w:sz w:val="14"/>
          <w:szCs w:val="14"/>
          <w:color w:val="231F20"/>
          <w:spacing w:val="8"/>
        </w:rPr>
        <w:t>同比</w:t>
      </w:r>
      <w:r>
        <w:rPr>
          <w:sz w:val="14"/>
          <w:szCs w:val="14"/>
          <w:color w:val="231F20"/>
          <w:spacing w:val="8"/>
        </w:rPr>
        <w:t xml:space="preserve">    </w:t>
      </w:r>
      <w:r>
        <w:rPr>
          <w:rFonts w:ascii="DejaVu Sans" w:hAnsi="DejaVu Sans" w:eastAsia="DejaVu Sans" w:cs="DejaVu Sans"/>
          <w:sz w:val="14"/>
          <w:szCs w:val="14"/>
          <w:color w:val="C6DB63"/>
          <w:spacing w:val="8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C6DB63"/>
          <w:spacing w:val="-8"/>
        </w:rPr>
        <w:t xml:space="preserve"> </w:t>
      </w:r>
      <w:r>
        <w:rPr>
          <w:sz w:val="14"/>
          <w:szCs w:val="14"/>
          <w:color w:val="231F20"/>
          <w:spacing w:val="8"/>
        </w:rPr>
        <w:t>日本</w:t>
      </w:r>
      <w:r>
        <w:rPr>
          <w:sz w:val="14"/>
          <w:szCs w:val="14"/>
          <w:color w:val="231F20"/>
        </w:rPr>
        <w:t>CPI</w:t>
      </w:r>
      <w:r>
        <w:rPr>
          <w:sz w:val="14"/>
          <w:szCs w:val="14"/>
          <w:color w:val="231F20"/>
          <w:spacing w:val="7"/>
        </w:rPr>
        <w:t>同比</w:t>
      </w:r>
      <w:r>
        <w:rPr>
          <w:sz w:val="14"/>
          <w:szCs w:val="14"/>
          <w:color w:val="231F20"/>
        </w:rPr>
        <w:t xml:space="preserve">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8"/>
        </w:rPr>
        <w:t>%</w:t>
      </w:r>
    </w:p>
    <w:p>
      <w:pPr>
        <w:ind w:left="218"/>
        <w:spacing w:before="2" w:line="217" w:lineRule="auto"/>
        <w:rPr>
          <w:rFonts w:ascii="DejaVu Sans" w:hAnsi="DejaVu Sans" w:eastAsia="DejaVu Sans" w:cs="DejaVu Sans"/>
          <w:sz w:val="9"/>
          <w:szCs w:val="9"/>
        </w:rPr>
      </w:pPr>
      <w:r>
        <w:pict>
          <v:group id="_x0000_s48" style="position:absolute;margin-left:19.3067pt;margin-top:3.50482pt;mso-position-vertical-relative:text;mso-position-horizontal-relative:text;width:184.4pt;height:89.9pt;z-index:251693056;" filled="false" stroked="false" coordsize="3688,1798" coordorigin="0,0">
            <v:shape id="_x0000_s50" style="position:absolute;left:2;top:168;width:3685;height:1447;" filled="false" strokecolor="#4E86C6" strokeweight="1.00pt" coordsize="3685,1447" coordorigin="0,0" path="m10,1436l93,1345l128,1285l155,1305l199,1305l252,1341l280,1314l311,1353c311,1353,342,1328,343,1328c343,1327,378,1328,378,1328l407,1380l427,1365l468,1399l510,1374l522,1369l558,1341l593,1341c593,1341,655,1300,678,1294c678,1294,763,1121,771,1116l806,1172l838,1125c838,1125,874,1200,897,1202l929,1202c929,1202,987,1157,1003,1170c1003,1170,1020,1191,1030,1186c1030,1186,1052,1174,1064,1183l1085,1201l1116,1200l1144,1226l1174,1188l1205,1210l1237,1116l1268,1116c1268,1116,1294,1073,1322,1095l1365,1095l1394,1073l1433,1139c1433,1139,1459,1179,1470,1181c1470,1181,1483,1189,1500,1183l1516,1174l1546,1189l1577,1151l1610,1214l1634,1198l1669,1238l1701,1238c1701,1238,1757,1281,1766,1271c1766,1271,1836,1180,1853,1188c1853,1188,1890,1205,1910,1260l1939,1328l1975,1351l2043,1315c2043,1315,2066,1387,2074,1393l2091,1402l2198,1402l2226,1251l2256,1251l2353,1112l2379,1126l2415,1082c2415,1082,2440,986,2455,962c2455,962,2472,939,2493,869l2533,740l2597,715l2632,589l2659,420l2687,420c2687,420,2749,255,2777,231l2813,201l2874,10c2874,10,2908,58,2921,132c2933,206,2961,261,2965,261l2995,279l3030,484l3054,472c3054,472,3104,662,3139,679l3183,703l3246,1005l3276,1058l3305,996c3305,996,3342,1006,3360,1025l3396,1057l3431,1057l3463,1030l3492,1048l3518,1031c3518,1031,3583,1150,3585,1146c3587,1142,3635,1093,3635,1093l3674,1061e">
              <v:stroke endcap="round" miterlimit="10"/>
            </v:shape>
            <v:shape id="_x0000_s52" style="position:absolute;left:2;top:0;width:3685;height:1798;" filled="false" strokecolor="#231F20" strokeweight="0.50pt" coordsize="3685,1798" coordorigin="0,0" path="m5,1792l5,5m5,1792l50,1792m5,1537l50,1537m5,1281l50,1281m5,1026l50,1026m5,771l50,771m5,515l50,515m5,260l50,260m5,5l50,5m5,1792l3684,1792e">
              <v:stroke miterlimit="10"/>
            </v:shape>
            <v:shape id="_x0000_s54" style="position:absolute;left:340;top:1746;width:3345;height:46;" filled="false" strokecolor="#231F20" strokeweight="0.50pt" coordsize="3345,46" coordorigin="0,0" path="m5,45l5,0m375,45l375,0m746,45l746,0m1116,45l1116,0m1487,45l1487,0m1857,45l1857,0m2228,45l2228,0m2598,45l2598,0m2969,45l2969,0m3339,45l3339,0e">
              <v:stroke joinstyle="miter" miterlimit="10"/>
            </v:shape>
            <v:shape id="_x0000_s56" style="position:absolute;left:0;top:376;width:3688;height:1195;" filled="false" strokecolor="#EE4256" strokeweight="1.00pt" coordsize="3688,1195" coordorigin="0,0" path="m10,1184c10,1184,62,1156,71,1160c71,1160,100,1174,121,1163c121,1163,152,1132,166,1133c166,1133,226,1131,229,1135l254,1158c254,1158,286,1145,296,1132l348,1080l377,1005l406,1056l444,1039c444,1039,467,1003,475,1005l498,1018l533,1018l564,1043l594,1016c594,1016,648,941,660,940l687,940l780,801l807,850c807,850,832,866,857,900l905,954l964,917l995,878l1024,901c1024,901,1049,874,1060,878c1060,878,1101,887,1112,881c1112,881,1141,864,1148,865l1179,863l1240,801l1274,801l1305,788l1361,865l1395,838l1431,893c1431,893,1456,899,1461,906l1493,973l1524,958c1524,958,1548,917,1556,911l1578,900c1578,900,1628,946,1644,939c1644,939,1671,925,1679,928l1703,942l1765,942c1765,942,1791,896,1799,887l1861,829c1861,829,1885,851,1894,880c1894,880,1935,1018,1941,1067l1948,1115l1981,1133c1981,1133,2008,1078,2027,1050c2027,1050,2077,988,2094,983c2094,983,2106,972,2130,998l2168,998c2168,998,2234,988,2256,947c2256,947,2297,805,2307,724c2307,724,2325,591,2345,546l2381,480l2416,480l2447,492l2476,465l2537,274l2631,145l2661,75l2692,109l2734,45l2750,10l2783,84l2816,109l2845,109c2845,109,2870,134,2889,197l2939,341c2939,341,2987,351,2999,391l3031,533l3060,533l3123,761l3186,685l3217,685c3217,685,3256,764,3273,759l3310,735c3310,735,3332,763,3340,763c3340,763,3374,750,3385,732c3385,732,3403,705,3417,715l3510,780l3525,786l3585,849l3677,786e">
              <v:stroke endcap="round" miterlimit="10"/>
            </v:shape>
            <v:shape id="_x0000_s58" style="position:absolute;left:2;top:980;width:3685;height:712;" filled="false" strokecolor="#C6DB63" strokeweight="1.00pt" coordsize="3685,712" coordorigin="0,0" path="m10,247l34,271l66,259l97,478l178,521l191,529l227,532l252,556l280,512l336,521l375,566l407,531l495,619l529,604l563,604l587,619l623,619c623,619,674,479,688,495c688,495,707,521,732,512l747,503c747,503,803,533,819,520l835,503l929,503l958,465l992,465l1024,524c1024,524,1102,381,1125,370c1125,370,1145,360,1159,383c1159,383,1203,478,1205,478c1207,478,1234,463,1234,463l1271,463c1271,463,1314,431,1330,389l1364,404l1393,376l1433,476c1433,476,1459,523,1481,529c1503,535,1515,529,1515,529l1579,439l1605,466l1638,466c1638,466,1735,550,1765,527c1765,527,1818,448,1828,452c1828,452,1853,460,1883,499l1924,499l1950,540c1950,540,2012,542,2012,540c2012,539,2041,516,2041,516c2041,516,2076,515,2113,570c2113,570,2179,694,2195,701c2195,701,2221,649,2243,631c2243,631,2282,594,2293,620l2320,691l2412,593l2441,606l2471,530l2503,542l2534,478l2568,455l2597,492l2625,435l2658,401l2685,233l2723,233c2723,233,2755,250,2773,233l2813,172l2843,172l2878,81c2878,81,2902,72,2908,67l2969,10l2994,122l3026,146l3058,105l3090,145l3113,132l3183,143l3214,168l3243,131l3274,198l3307,220l3336,269l3368,197l3431,231l3461,193l3518,193l3554,172c3554,172,3605,278,3619,254l3674,100e">
              <v:stroke endcap="round" miterlimit="10"/>
            </v:shape>
          </v:group>
        </w:pict>
      </w:r>
      <w:r>
        <w:rPr>
          <w:rFonts w:ascii="DejaVu Sans" w:hAnsi="DejaVu Sans" w:eastAsia="DejaVu Sans" w:cs="DejaVu Sans"/>
          <w:sz w:val="9"/>
          <w:szCs w:val="9"/>
          <w:color w:val="231F20"/>
          <w:spacing w:val="2"/>
        </w:rPr>
        <w:t>12</w:t>
      </w:r>
    </w:p>
    <w:p>
      <w:pPr>
        <w:ind w:left="217"/>
        <w:spacing w:before="160" w:line="218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3"/>
        </w:rPr>
        <w:t>10</w:t>
      </w:r>
    </w:p>
    <w:p>
      <w:pPr>
        <w:ind w:left="282"/>
        <w:spacing w:before="160" w:line="218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E20"/>
        </w:rPr>
        <w:t>8</w:t>
      </w:r>
    </w:p>
    <w:p>
      <w:pPr>
        <w:ind w:left="277"/>
        <w:spacing w:before="159" w:line="220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3"/>
        </w:rPr>
        <w:t>6</w:t>
      </w:r>
    </w:p>
    <w:p>
      <w:pPr>
        <w:ind w:left="273"/>
        <w:spacing w:before="160" w:line="217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7"/>
        </w:rPr>
        <w:t>4</w:t>
      </w:r>
    </w:p>
    <w:p>
      <w:pPr>
        <w:ind w:left="276"/>
        <w:spacing w:before="161" w:line="217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5"/>
        </w:rPr>
        <w:t>2</w:t>
      </w:r>
    </w:p>
    <w:p>
      <w:pPr>
        <w:ind w:left="274"/>
        <w:spacing w:before="161" w:line="218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6"/>
        </w:rPr>
        <w:t>0</w:t>
      </w:r>
    </w:p>
    <w:p>
      <w:pPr>
        <w:ind w:left="201"/>
        <w:spacing w:before="159" w:line="163" w:lineRule="auto"/>
        <w:rPr>
          <w:rFonts w:ascii="DejaVu Sans" w:hAnsi="DejaVu Sans" w:eastAsia="DejaVu Sans" w:cs="DejaVu Sans"/>
          <w:sz w:val="12"/>
          <w:szCs w:val="12"/>
        </w:rPr>
      </w:pPr>
      <w:r>
        <w:rPr>
          <w:rFonts w:ascii="DejaVu Sans" w:hAnsi="DejaVu Sans" w:eastAsia="DejaVu Sans" w:cs="DejaVu Sans"/>
          <w:sz w:val="12"/>
          <w:szCs w:val="12"/>
          <w:color w:val="231F20"/>
          <w:spacing w:val="8"/>
        </w:rPr>
        <w:t>-2</w:t>
      </w:r>
    </w:p>
    <w:p>
      <w:pPr>
        <w:ind w:firstLine="51"/>
        <w:spacing w:before="56" w:line="398" w:lineRule="exact"/>
        <w:rPr/>
      </w:pPr>
      <w:r>
        <w:rPr>
          <w:position w:val="-7"/>
        </w:rPr>
        <w:drawing>
          <wp:inline distT="0" distB="0" distL="0" distR="0">
            <wp:extent cx="2580976" cy="252925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0976" cy="2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79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图1-3</w:t>
      </w:r>
      <w:r>
        <w:rPr>
          <w:sz w:val="18"/>
          <w:szCs w:val="18"/>
          <w:color w:val="231F20"/>
          <w:spacing w:val="10"/>
          <w:w w:val="101"/>
        </w:rPr>
        <w:t xml:space="preserve">    </w:t>
      </w:r>
      <w:r>
        <w:rPr>
          <w:sz w:val="18"/>
          <w:szCs w:val="18"/>
          <w:color w:val="231F20"/>
        </w:rPr>
        <w:t>主要发达经济体物价指数</w:t>
      </w:r>
    </w:p>
    <w:p>
      <w:pPr>
        <w:pStyle w:val="BodyText"/>
        <w:ind w:left="1069"/>
        <w:spacing w:before="29" w:line="19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（数据来源：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Wind</w:t>
      </w:r>
      <w:r>
        <w:rPr>
          <w:sz w:val="18"/>
          <w:szCs w:val="18"/>
          <w:color w:val="231F20"/>
        </w:rPr>
        <w:t>数据）</w:t>
      </w:r>
    </w:p>
    <w:p>
      <w:pPr>
        <w:pStyle w:val="BodyText"/>
        <w:ind w:left="417"/>
        <w:spacing w:before="474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（二）国际金融市场波动加大</w:t>
      </w:r>
    </w:p>
    <w:p>
      <w:pPr>
        <w:pStyle w:val="BodyText"/>
        <w:ind w:left="4" w:right="358" w:firstLine="427"/>
        <w:spacing w:before="237" w:line="254" w:lineRule="auto"/>
        <w:rPr/>
      </w:pPr>
      <w:r>
        <w:rPr>
          <w:color w:val="231F20"/>
          <w:spacing w:val="21"/>
        </w:rPr>
        <w:t>美元指数上行，非美货币普遍贬值。</w:t>
      </w:r>
      <w:r>
        <w:rPr>
          <w:color w:val="231F20"/>
          <w:spacing w:val="3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月至</w:t>
      </w:r>
      <w:r>
        <w:rPr>
          <w:rFonts w:ascii="Times New Roman" w:hAnsi="Times New Roman" w:eastAsia="Times New Roman" w:cs="Times New Roman"/>
          <w:color w:val="231F20"/>
          <w:spacing w:val="3"/>
        </w:rPr>
        <w:t>9</w:t>
      </w:r>
      <w:r>
        <w:rPr>
          <w:color w:val="231F20"/>
          <w:spacing w:val="3"/>
        </w:rPr>
        <w:t>月，美元指数持续在</w:t>
      </w:r>
      <w:r>
        <w:rPr>
          <w:rFonts w:ascii="Times New Roman" w:hAnsi="Times New Roman" w:eastAsia="Times New Roman" w:cs="Times New Roman"/>
          <w:color w:val="231F20"/>
          <w:spacing w:val="3"/>
        </w:rPr>
        <w:t>100</w:t>
      </w:r>
      <w:r>
        <w:rPr>
          <w:rFonts w:ascii="Times New Roman" w:hAnsi="Times New Roman" w:eastAsia="Times New Roman" w:cs="Times New Roman"/>
          <w:color w:val="231F20"/>
          <w:spacing w:val="-16"/>
        </w:rPr>
        <w:t xml:space="preserve"> </w:t>
      </w:r>
      <w:r>
        <w:rPr>
          <w:color w:val="231F20"/>
          <w:spacing w:val="3"/>
        </w:rPr>
        <w:t>～</w:t>
      </w:r>
      <w:r>
        <w:rPr>
          <w:color w:val="231F20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rFonts w:ascii="Times New Roman" w:hAnsi="Times New Roman" w:eastAsia="Times New Roman" w:cs="Times New Roman"/>
          <w:color w:val="231F20"/>
          <w:spacing w:val="2"/>
        </w:rPr>
        <w:t>07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4"/>
        </w:rPr>
        <w:t>的区间波动。</w:t>
      </w:r>
      <w:r>
        <w:rPr>
          <w:color w:val="231F20"/>
          <w:spacing w:val="4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10</w:t>
      </w:r>
      <w:r>
        <w:rPr>
          <w:color w:val="231F20"/>
          <w:spacing w:val="4"/>
        </w:rPr>
        <w:t>月以来，受地缘政治风险加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剧等因素影响，美元指数呈上行趋势。  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rFonts w:ascii="Times New Roman" w:hAnsi="Times New Roman" w:eastAsia="Times New Roman" w:cs="Times New Roman"/>
          <w:color w:val="231F20"/>
          <w:spacing w:val="5"/>
        </w:rPr>
        <w:t xml:space="preserve"> </w:t>
      </w:r>
      <w:r>
        <w:rPr>
          <w:color w:val="231F20"/>
          <w:spacing w:val="9"/>
        </w:rPr>
        <w:t>年末，美元指数收于</w:t>
      </w:r>
      <w:r>
        <w:rPr>
          <w:rFonts w:ascii="Times New Roman" w:hAnsi="Times New Roman" w:eastAsia="Times New Roman" w:cs="Times New Roman"/>
          <w:color w:val="231F20"/>
          <w:spacing w:val="9"/>
        </w:rPr>
        <w:t>108.49</w:t>
      </w:r>
      <w:r>
        <w:rPr>
          <w:color w:val="231F20"/>
          <w:spacing w:val="9"/>
        </w:rPr>
        <w:t>，较上年末上升</w:t>
      </w:r>
      <w:r>
        <w:rPr>
          <w:color w:val="231F20"/>
          <w:spacing w:val="1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7.0%</w:t>
      </w:r>
      <w:r>
        <w:rPr>
          <w:color w:val="231F20"/>
          <w:spacing w:val="8"/>
        </w:rPr>
        <w:t>。欧元兑美元收报</w:t>
      </w:r>
      <w:r>
        <w:rPr>
          <w:rFonts w:ascii="Times New Roman" w:hAnsi="Times New Roman" w:eastAsia="Times New Roman" w:cs="Times New Roman"/>
          <w:color w:val="231F20"/>
          <w:spacing w:val="8"/>
        </w:rPr>
        <w:t>1.04</w:t>
      </w:r>
      <w:r>
        <w:rPr>
          <w:color w:val="231F20"/>
          <w:spacing w:val="8"/>
        </w:rPr>
        <w:t>，全年累计下跌</w:t>
      </w:r>
      <w:r>
        <w:rPr>
          <w:color w:val="231F20"/>
          <w:spacing w:val="1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6.5%</w:t>
      </w:r>
      <w:r>
        <w:rPr>
          <w:color w:val="231F20"/>
          <w:spacing w:val="8"/>
        </w:rPr>
        <w:t>。英镑兑美元收报</w:t>
      </w:r>
      <w:r>
        <w:rPr>
          <w:rFonts w:ascii="Times New Roman" w:hAnsi="Times New Roman" w:eastAsia="Times New Roman" w:cs="Times New Roman"/>
          <w:color w:val="231F20"/>
          <w:spacing w:val="8"/>
        </w:rPr>
        <w:t>1.25</w:t>
      </w:r>
      <w:r>
        <w:rPr>
          <w:color w:val="231F20"/>
          <w:spacing w:val="8"/>
        </w:rPr>
        <w:t>，全年累计下跌</w:t>
      </w:r>
      <w:r>
        <w:rPr>
          <w:color w:val="231F20"/>
          <w:spacing w:val="1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1.7%</w:t>
      </w:r>
      <w:r>
        <w:rPr>
          <w:color w:val="231F20"/>
          <w:spacing w:val="-1"/>
        </w:rPr>
        <w:t>。美元兑日元收报</w:t>
      </w:r>
      <w:r>
        <w:rPr>
          <w:rFonts w:ascii="Times New Roman" w:hAnsi="Times New Roman" w:eastAsia="Times New Roman" w:cs="Times New Roman"/>
          <w:color w:val="231F20"/>
          <w:spacing w:val="-1"/>
        </w:rPr>
        <w:t>157.20</w:t>
      </w:r>
      <w:r>
        <w:rPr>
          <w:color w:val="231F20"/>
          <w:spacing w:val="-1"/>
        </w:rPr>
        <w:t>，日元全年累计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1"/>
        </w:rPr>
        <w:t>下跌</w:t>
      </w:r>
      <w:r>
        <w:rPr>
          <w:rFonts w:ascii="Times New Roman" w:hAnsi="Times New Roman" w:eastAsia="Times New Roman" w:cs="Times New Roman"/>
          <w:color w:val="231F20"/>
          <w:spacing w:val="1"/>
        </w:rPr>
        <w:t>10.3%</w:t>
      </w:r>
      <w:r>
        <w:rPr>
          <w:color w:val="231F20"/>
          <w:spacing w:val="1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1"/>
        </w:rPr>
        <w:t>1</w:t>
      </w:r>
      <w:r>
        <w:rPr>
          <w:color w:val="231F20"/>
          <w:spacing w:val="1"/>
        </w:rPr>
        <w:t>-</w:t>
      </w:r>
      <w:r>
        <w:rPr>
          <w:rFonts w:ascii="Times New Roman" w:hAnsi="Times New Roman" w:eastAsia="Times New Roman" w:cs="Times New Roman"/>
          <w:color w:val="231F20"/>
          <w:spacing w:val="1"/>
        </w:rPr>
        <w:t>4</w:t>
      </w:r>
      <w:r>
        <w:rPr>
          <w:color w:val="231F20"/>
          <w:spacing w:val="1"/>
        </w:rPr>
        <w:t>）。</w:t>
      </w:r>
    </w:p>
    <w:p>
      <w:pPr>
        <w:pStyle w:val="BodyText"/>
        <w:ind w:left="575" w:right="930"/>
        <w:spacing w:before="222" w:line="190" w:lineRule="auto"/>
        <w:rPr>
          <w:rFonts w:ascii="DejaVu Sans" w:hAnsi="DejaVu Sans" w:eastAsia="DejaVu Sans" w:cs="DejaVu Sans"/>
          <w:sz w:val="13"/>
          <w:szCs w:val="13"/>
        </w:rPr>
      </w:pPr>
      <w:r>
        <w:drawing>
          <wp:anchor distT="0" distB="0" distL="0" distR="0" simplePos="0" relativeHeight="251692032" behindDoc="0" locked="0" layoutInCell="1" allowOverlap="1">
            <wp:simplePos x="0" y="0"/>
            <wp:positionH relativeFrom="column">
              <wp:posOffset>223263</wp:posOffset>
            </wp:positionH>
            <wp:positionV relativeFrom="paragraph">
              <wp:posOffset>416891</wp:posOffset>
            </wp:positionV>
            <wp:extent cx="2243077" cy="1367269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43077" cy="1367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eastAsia="DejaVu Sans" w:cs="DejaVu Sans"/>
          <w:sz w:val="13"/>
          <w:szCs w:val="13"/>
          <w:color w:val="782D36"/>
          <w:spacing w:val="14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782D36"/>
          <w:spacing w:val="-10"/>
        </w:rPr>
        <w:t xml:space="preserve"> </w:t>
      </w:r>
      <w:r>
        <w:rPr>
          <w:sz w:val="13"/>
          <w:szCs w:val="13"/>
          <w:color w:val="231E20"/>
          <w:spacing w:val="14"/>
        </w:rPr>
        <w:t>美元指数</w:t>
      </w:r>
      <w:r>
        <w:rPr>
          <w:sz w:val="13"/>
          <w:szCs w:val="13"/>
          <w:color w:val="231E20"/>
          <w:spacing w:val="3"/>
        </w:rPr>
        <w:t xml:space="preserve">  </w:t>
      </w:r>
      <w:r>
        <w:rPr>
          <w:sz w:val="13"/>
          <w:szCs w:val="13"/>
          <w:color w:val="231F20"/>
          <w:spacing w:val="14"/>
        </w:rPr>
        <w:t>(左轴</w:t>
      </w:r>
      <w:r>
        <w:rPr>
          <w:sz w:val="13"/>
          <w:szCs w:val="13"/>
          <w:color w:val="231F20"/>
          <w:spacing w:val="13"/>
          <w:w w:val="103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4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4"/>
        </w:rPr>
        <w:t xml:space="preserve">      </w:t>
      </w:r>
      <w:r>
        <w:rPr>
          <w:rFonts w:ascii="DejaVu Sans" w:hAnsi="DejaVu Sans" w:eastAsia="DejaVu Sans" w:cs="DejaVu Sans"/>
          <w:sz w:val="13"/>
          <w:szCs w:val="13"/>
          <w:color w:val="354A66"/>
          <w:spacing w:val="14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354A66"/>
          <w:spacing w:val="-29"/>
        </w:rPr>
        <w:t xml:space="preserve"> </w:t>
      </w:r>
      <w:r>
        <w:rPr>
          <w:sz w:val="13"/>
          <w:szCs w:val="13"/>
          <w:color w:val="231F20"/>
          <w:spacing w:val="14"/>
        </w:rPr>
        <w:t>美元兑日元</w:t>
      </w:r>
      <w:r>
        <w:rPr>
          <w:sz w:val="13"/>
          <w:szCs w:val="13"/>
          <w:color w:val="231F20"/>
          <w:spacing w:val="14"/>
        </w:rPr>
        <w:t xml:space="preserve">  </w:t>
      </w:r>
      <w:r>
        <w:rPr>
          <w:sz w:val="13"/>
          <w:szCs w:val="13"/>
          <w:color w:val="231F20"/>
          <w:spacing w:val="14"/>
        </w:rPr>
        <w:t>(左轴</w:t>
      </w:r>
      <w:r>
        <w:rPr>
          <w:sz w:val="13"/>
          <w:szCs w:val="13"/>
          <w:color w:val="231F20"/>
          <w:spacing w:val="14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4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6A713D"/>
          <w:spacing w:val="6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6A713D"/>
          <w:spacing w:val="-12"/>
        </w:rPr>
        <w:t xml:space="preserve"> </w:t>
      </w:r>
      <w:r>
        <w:rPr>
          <w:sz w:val="13"/>
          <w:szCs w:val="13"/>
          <w:color w:val="231F20"/>
          <w:spacing w:val="6"/>
        </w:rPr>
        <w:t>欧元兑美元</w:t>
      </w:r>
      <w:r>
        <w:rPr>
          <w:sz w:val="13"/>
          <w:szCs w:val="13"/>
          <w:color w:val="231F20"/>
          <w:spacing w:val="6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6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6"/>
        </w:rPr>
        <w:t xml:space="preserve"> </w:t>
      </w:r>
      <w:r>
        <w:rPr>
          <w:sz w:val="13"/>
          <w:szCs w:val="13"/>
          <w:color w:val="231F20"/>
          <w:spacing w:val="6"/>
        </w:rPr>
        <w:t>右轴</w:t>
      </w:r>
      <w:r>
        <w:rPr>
          <w:sz w:val="13"/>
          <w:szCs w:val="13"/>
          <w:color w:val="231F20"/>
          <w:spacing w:val="17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6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3"/>
        </w:rPr>
        <w:t xml:space="preserve">   </w:t>
      </w:r>
      <w:r>
        <w:rPr>
          <w:sz w:val="13"/>
          <w:szCs w:val="13"/>
          <w:position w:val="5"/>
        </w:rPr>
        <w:drawing>
          <wp:inline distT="0" distB="0" distL="0" distR="0">
            <wp:extent cx="138696" cy="12700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696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3"/>
          <w:szCs w:val="13"/>
          <w:color w:val="231F20"/>
          <w:spacing w:val="-26"/>
        </w:rPr>
        <w:t xml:space="preserve"> </w:t>
      </w:r>
      <w:r>
        <w:rPr>
          <w:sz w:val="13"/>
          <w:szCs w:val="13"/>
          <w:color w:val="231F20"/>
          <w:spacing w:val="6"/>
        </w:rPr>
        <w:t>英镑兑美元</w:t>
      </w:r>
      <w:r>
        <w:rPr>
          <w:sz w:val="13"/>
          <w:szCs w:val="13"/>
          <w:color w:val="231F20"/>
          <w:spacing w:val="6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6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6"/>
        </w:rPr>
        <w:t xml:space="preserve"> </w:t>
      </w:r>
      <w:r>
        <w:rPr>
          <w:sz w:val="13"/>
          <w:szCs w:val="13"/>
          <w:color w:val="231F20"/>
          <w:spacing w:val="6"/>
        </w:rPr>
        <w:t>右轴</w:t>
      </w:r>
      <w:r>
        <w:rPr>
          <w:sz w:val="13"/>
          <w:szCs w:val="13"/>
          <w:color w:val="231F20"/>
          <w:spacing w:val="14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6"/>
        </w:rPr>
        <w:t>)</w:t>
      </w:r>
    </w:p>
    <w:p>
      <w:pPr>
        <w:ind w:firstLine="116"/>
        <w:spacing w:before="266" w:line="97" w:lineRule="exact"/>
        <w:rPr/>
      </w:pPr>
      <w:r>
        <w:rPr>
          <w:position w:val="-1"/>
        </w:rPr>
        <w:drawing>
          <wp:inline distT="0" distB="0" distL="0" distR="0">
            <wp:extent cx="120848" cy="61124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848" cy="6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6"/>
        <w:spacing w:before="171" w:line="222" w:lineRule="auto"/>
        <w:rPr>
          <w:rFonts w:ascii="DejaVu Sans" w:hAnsi="DejaVu Sans" w:eastAsia="DejaVu Sans" w:cs="DejaVu Sans"/>
          <w:sz w:val="9"/>
          <w:szCs w:val="9"/>
        </w:rPr>
      </w:pPr>
      <w:r>
        <w:pict>
          <v:shape id="_x0000_s60" style="position:absolute;margin-left:4.8329pt;margin-top:-19.1507pt;mso-position-vertical-relative:text;mso-position-horizontal-relative:text;width:11.55pt;height:6.8pt;z-index:2516971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18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E20"/>
                      <w:spacing w:val="6"/>
                    </w:rPr>
                    <w:t>170</w:t>
                  </w:r>
                </w:p>
              </w:txbxContent>
            </v:textbox>
          </v:shape>
        </w:pict>
      </w:r>
      <w:r>
        <w:pict>
          <v:shape id="_x0000_s62" style="position:absolute;margin-left:196.033pt;margin-top:-19.1507pt;mso-position-vertical-relative:text;mso-position-horizontal-relative:text;width:13.25pt;height:42.5pt;z-index:2516951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18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</w:rPr>
                    <w:t>1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</w:rPr>
                    <w:t>.40</w:t>
                  </w:r>
                </w:p>
                <w:p>
                  <w:pPr>
                    <w:ind w:left="20"/>
                    <w:spacing w:before="261" w:line="218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</w:rPr>
                    <w:t>1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</w:rPr>
                    <w:t>.30</w:t>
                  </w:r>
                </w:p>
                <w:p>
                  <w:pPr>
                    <w:ind w:left="20"/>
                    <w:spacing w:before="262" w:line="218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3"/>
                    </w:rPr>
                    <w:t>1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3"/>
                    </w:rPr>
                    <w:t>.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3"/>
                    </w:rPr>
                    <w:t>20</w:t>
                  </w:r>
                </w:p>
              </w:txbxContent>
            </v:textbox>
          </v:shape>
        </w:pict>
      </w:r>
      <w:r>
        <w:rPr>
          <w:rFonts w:ascii="DejaVu Sans" w:hAnsi="DejaVu Sans" w:eastAsia="DejaVu Sans" w:cs="DejaVu Sans"/>
          <w:sz w:val="9"/>
          <w:szCs w:val="9"/>
          <w:color w:val="231E20"/>
          <w:spacing w:val="6"/>
        </w:rPr>
        <w:t>150</w:t>
      </w:r>
    </w:p>
    <w:p>
      <w:pPr>
        <w:ind w:left="116"/>
        <w:spacing w:before="172" w:line="218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6"/>
        </w:rPr>
        <w:t>140</w:t>
      </w:r>
    </w:p>
    <w:p>
      <w:pPr>
        <w:ind w:left="116"/>
        <w:spacing w:before="173" w:line="218" w:lineRule="auto"/>
        <w:rPr>
          <w:rFonts w:ascii="DejaVu Sans" w:hAnsi="DejaVu Sans" w:eastAsia="DejaVu Sans" w:cs="DejaVu Sans"/>
          <w:sz w:val="9"/>
          <w:szCs w:val="9"/>
        </w:rPr>
      </w:pPr>
      <w:r>
        <w:drawing>
          <wp:anchor distT="0" distB="0" distL="0" distR="0" simplePos="0" relativeHeight="251696128" behindDoc="0" locked="0" layoutInCell="1" allowOverlap="1">
            <wp:simplePos x="0" y="0"/>
            <wp:positionH relativeFrom="column">
              <wp:posOffset>2502320</wp:posOffset>
            </wp:positionH>
            <wp:positionV relativeFrom="paragraph">
              <wp:posOffset>109895</wp:posOffset>
            </wp:positionV>
            <wp:extent cx="142734" cy="60418"/>
            <wp:effectExtent l="0" t="0" r="0" b="0"/>
            <wp:wrapNone/>
            <wp:docPr id="34" name="IM 34"/>
            <wp:cNvGraphicFramePr/>
            <a:graphic>
              <a:graphicData uri="http://schemas.openxmlformats.org/drawingml/2006/picture">
                <pic:pic>
                  <pic:nvPicPr>
                    <pic:cNvPr id="34" name="IM 3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2734" cy="6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eastAsia="DejaVu Sans" w:cs="DejaVu Sans"/>
          <w:sz w:val="9"/>
          <w:szCs w:val="9"/>
          <w:color w:val="231F20"/>
          <w:spacing w:val="6"/>
        </w:rPr>
        <w:t>130</w:t>
      </w:r>
    </w:p>
    <w:p>
      <w:pPr>
        <w:ind w:left="116"/>
        <w:spacing w:before="173" w:line="218" w:lineRule="auto"/>
        <w:rPr>
          <w:rFonts w:ascii="DejaVu Sans" w:hAnsi="DejaVu Sans" w:eastAsia="DejaVu Sans" w:cs="DejaVu Sans"/>
          <w:sz w:val="9"/>
          <w:szCs w:val="9"/>
        </w:rPr>
      </w:pPr>
      <w:r>
        <w:drawing>
          <wp:anchor distT="0" distB="0" distL="0" distR="0" simplePos="0" relativeHeight="251694080" behindDoc="0" locked="0" layoutInCell="1" allowOverlap="1">
            <wp:simplePos x="0" y="0"/>
            <wp:positionH relativeFrom="column">
              <wp:posOffset>2494687</wp:posOffset>
            </wp:positionH>
            <wp:positionV relativeFrom="paragraph">
              <wp:posOffset>166161</wp:posOffset>
            </wp:positionV>
            <wp:extent cx="150367" cy="514223"/>
            <wp:effectExtent l="0" t="0" r="0" b="0"/>
            <wp:wrapNone/>
            <wp:docPr id="36" name="IM 36"/>
            <wp:cNvGraphicFramePr/>
            <a:graphic>
              <a:graphicData uri="http://schemas.openxmlformats.org/drawingml/2006/picture">
                <pic:pic>
                  <pic:nvPicPr>
                    <pic:cNvPr id="36" name="IM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367" cy="514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eastAsia="DejaVu Sans" w:cs="DejaVu Sans"/>
          <w:sz w:val="9"/>
          <w:szCs w:val="9"/>
          <w:color w:val="231F20"/>
          <w:spacing w:val="6"/>
        </w:rPr>
        <w:t>120</w:t>
      </w:r>
    </w:p>
    <w:p>
      <w:pPr>
        <w:ind w:left="116"/>
        <w:spacing w:before="172" w:line="218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-4"/>
        </w:rPr>
        <w:t>1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1"/>
        </w:rPr>
        <w:t xml:space="preserve">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4"/>
        </w:rPr>
        <w:t>10</w:t>
      </w:r>
    </w:p>
    <w:p>
      <w:pPr>
        <w:ind w:firstLine="116"/>
        <w:spacing w:before="173" w:line="364" w:lineRule="exact"/>
        <w:rPr/>
      </w:pPr>
      <w:r>
        <w:rPr>
          <w:position w:val="-7"/>
        </w:rPr>
        <w:drawing>
          <wp:inline distT="0" distB="0" distL="0" distR="0">
            <wp:extent cx="120848" cy="231140"/>
            <wp:effectExtent l="0" t="0" r="0" b="0"/>
            <wp:docPr id="38" name="IM 38"/>
            <wp:cNvGraphicFramePr/>
            <a:graphic>
              <a:graphicData uri="http://schemas.openxmlformats.org/drawingml/2006/picture">
                <pic:pic>
                  <pic:nvPicPr>
                    <pic:cNvPr id="38" name="IM 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848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spacing w:before="31" w:line="413" w:lineRule="exact"/>
        <w:rPr/>
      </w:pPr>
      <w:r>
        <w:rPr>
          <w:position w:val="-8"/>
        </w:rPr>
        <w:drawing>
          <wp:inline distT="0" distB="0" distL="0" distR="0">
            <wp:extent cx="2300517" cy="262355"/>
            <wp:effectExtent l="0" t="0" r="0" b="0"/>
            <wp:docPr id="40" name="IM 40"/>
            <wp:cNvGraphicFramePr/>
            <a:graphic>
              <a:graphicData uri="http://schemas.openxmlformats.org/drawingml/2006/picture">
                <pic:pic>
                  <pic:nvPicPr>
                    <pic:cNvPr id="40" name="IM 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00517" cy="26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49"/>
        <w:spacing w:before="154" w:line="212" w:lineRule="exact"/>
        <w:rPr>
          <w:sz w:val="18"/>
          <w:szCs w:val="18"/>
        </w:rPr>
      </w:pPr>
      <w:r>
        <w:rPr>
          <w:sz w:val="18"/>
          <w:szCs w:val="18"/>
          <w:color w:val="231F20"/>
          <w:spacing w:val="1"/>
          <w:position w:val="-1"/>
        </w:rPr>
        <w:t>图1-4</w:t>
      </w:r>
      <w:r>
        <w:rPr>
          <w:sz w:val="18"/>
          <w:szCs w:val="18"/>
          <w:color w:val="231F20"/>
          <w:spacing w:val="7"/>
          <w:position w:val="-1"/>
        </w:rPr>
        <w:t xml:space="preserve">    </w:t>
      </w:r>
      <w:r>
        <w:rPr>
          <w:sz w:val="18"/>
          <w:szCs w:val="18"/>
          <w:color w:val="231F20"/>
          <w:spacing w:val="1"/>
          <w:position w:val="-1"/>
        </w:rPr>
        <w:t>主要货币汇率走势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1" w:firstLine="433"/>
        <w:spacing w:before="32" w:line="254" w:lineRule="auto"/>
        <w:rPr/>
      </w:pPr>
      <w:bookmarkStart w:name="bookmark36" w:id="4"/>
      <w:bookmarkEnd w:id="4"/>
      <w:r>
        <w:rPr>
          <w:color w:val="231F20"/>
          <w:spacing w:val="7"/>
        </w:rPr>
        <w:t>主要发达经济体国债收益率波动上升。</w:t>
      </w:r>
      <w:r>
        <w:rPr>
          <w:color w:val="231F20"/>
          <w:spacing w:val="4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7"/>
        </w:rPr>
        <w:t>2024</w:t>
      </w:r>
      <w:r>
        <w:rPr>
          <w:color w:val="231F20"/>
          <w:spacing w:val="7"/>
        </w:rPr>
        <w:t>年</w:t>
      </w:r>
      <w:r>
        <w:rPr>
          <w:rFonts w:ascii="Times New Roman" w:hAnsi="Times New Roman" w:eastAsia="Times New Roman" w:cs="Times New Roman"/>
          <w:color w:val="231F20"/>
          <w:spacing w:val="7"/>
        </w:rPr>
        <w:t>1</w:t>
      </w:r>
      <w:r>
        <w:rPr>
          <w:color w:val="231F20"/>
          <w:spacing w:val="7"/>
        </w:rPr>
        <w:t>月至</w:t>
      </w:r>
      <w:r>
        <w:rPr>
          <w:rFonts w:ascii="Times New Roman" w:hAnsi="Times New Roman" w:eastAsia="Times New Roman" w:cs="Times New Roman"/>
          <w:color w:val="231F20"/>
          <w:spacing w:val="7"/>
        </w:rPr>
        <w:t>9</w:t>
      </w:r>
      <w:r>
        <w:rPr>
          <w:color w:val="231F20"/>
          <w:spacing w:val="7"/>
        </w:rPr>
        <w:t>月，全球国债市场收益率总体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呈小幅波动态势。</w:t>
      </w:r>
      <w:r>
        <w:rPr>
          <w:color w:val="231F20"/>
          <w:spacing w:val="6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10</w:t>
      </w:r>
      <w:r>
        <w:rPr>
          <w:color w:val="231F20"/>
          <w:spacing w:val="3"/>
        </w:rPr>
        <w:t>月后，受美国大选预期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影响，美国国债收益率走高。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年末，美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国</w:t>
      </w:r>
      <w:r>
        <w:rPr>
          <w:rFonts w:ascii="Times New Roman" w:hAnsi="Times New Roman" w:eastAsia="Times New Roman" w:cs="Times New Roman"/>
          <w:color w:val="231F20"/>
          <w:spacing w:val="2"/>
        </w:rPr>
        <w:t>10</w:t>
      </w:r>
      <w:r>
        <w:rPr>
          <w:color w:val="231F20"/>
          <w:spacing w:val="2"/>
        </w:rPr>
        <w:t>年期国债收益率收报</w:t>
      </w:r>
      <w:r>
        <w:rPr>
          <w:rFonts w:ascii="Times New Roman" w:hAnsi="Times New Roman" w:eastAsia="Times New Roman" w:cs="Times New Roman"/>
          <w:color w:val="231F20"/>
          <w:spacing w:val="2"/>
        </w:rPr>
        <w:t>4.58%</w:t>
      </w:r>
      <w:r>
        <w:rPr>
          <w:color w:val="231F20"/>
          <w:spacing w:val="2"/>
        </w:rPr>
        <w:t>，较上年</w:t>
      </w:r>
      <w:r>
        <w:rPr>
          <w:color w:val="231F20"/>
          <w:spacing w:val="1"/>
        </w:rPr>
        <w:t>末上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升</w:t>
      </w:r>
      <w:r>
        <w:rPr>
          <w:rFonts w:ascii="Times New Roman" w:hAnsi="Times New Roman" w:eastAsia="Times New Roman" w:cs="Times New Roman"/>
          <w:color w:val="231F20"/>
          <w:spacing w:val="8"/>
        </w:rPr>
        <w:t>70</w:t>
      </w:r>
      <w:r>
        <w:rPr>
          <w:color w:val="231F20"/>
          <w:spacing w:val="8"/>
        </w:rPr>
        <w:t>个基点。英国、德国和日本</w:t>
      </w:r>
      <w:r>
        <w:rPr>
          <w:rFonts w:ascii="Times New Roman" w:hAnsi="Times New Roman" w:eastAsia="Times New Roman" w:cs="Times New Roman"/>
          <w:color w:val="231F20"/>
          <w:spacing w:val="8"/>
        </w:rPr>
        <w:t>10</w:t>
      </w:r>
      <w:r>
        <w:rPr>
          <w:color w:val="231F20"/>
          <w:spacing w:val="8"/>
        </w:rPr>
        <w:t>年期国债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收益率分别收报</w:t>
      </w:r>
      <w:r>
        <w:rPr>
          <w:rFonts w:ascii="Times New Roman" w:hAnsi="Times New Roman" w:eastAsia="Times New Roman" w:cs="Times New Roman"/>
          <w:color w:val="231F20"/>
          <w:spacing w:val="-1"/>
        </w:rPr>
        <w:t>4.52%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-1"/>
        </w:rPr>
        <w:t>、</w:t>
      </w:r>
      <w:r>
        <w:rPr>
          <w:rFonts w:ascii="Times New Roman" w:hAnsi="Times New Roman" w:eastAsia="Times New Roman" w:cs="Times New Roman"/>
          <w:color w:val="231F20"/>
          <w:spacing w:val="-1"/>
        </w:rPr>
        <w:t>2.39%</w:t>
      </w:r>
      <w:r>
        <w:rPr>
          <w:color w:val="231F20"/>
          <w:spacing w:val="-1"/>
        </w:rPr>
        <w:t>和</w:t>
      </w:r>
      <w:r>
        <w:rPr>
          <w:rFonts w:ascii="Times New Roman" w:hAnsi="Times New Roman" w:eastAsia="Times New Roman" w:cs="Times New Roman"/>
          <w:color w:val="231F20"/>
          <w:spacing w:val="-1"/>
        </w:rPr>
        <w:t>1.11%</w:t>
      </w:r>
      <w:r>
        <w:rPr>
          <w:color w:val="231F20"/>
          <w:spacing w:val="-1"/>
        </w:rPr>
        <w:t>，较上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年末分别上升</w:t>
      </w:r>
      <w:r>
        <w:rPr>
          <w:rFonts w:ascii="Times New Roman" w:hAnsi="Times New Roman" w:eastAsia="Times New Roman" w:cs="Times New Roman"/>
          <w:color w:val="231F20"/>
          <w:spacing w:val="6"/>
        </w:rPr>
        <w:t>90</w:t>
      </w:r>
      <w:r>
        <w:rPr>
          <w:color w:val="231F20"/>
          <w:spacing w:val="6"/>
        </w:rPr>
        <w:t>个、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37</w:t>
      </w:r>
      <w:r>
        <w:rPr>
          <w:color w:val="231F20"/>
          <w:spacing w:val="6"/>
        </w:rPr>
        <w:t>个和</w:t>
      </w:r>
      <w:r>
        <w:rPr>
          <w:rFonts w:ascii="Times New Roman" w:hAnsi="Times New Roman" w:eastAsia="Times New Roman" w:cs="Times New Roman"/>
          <w:color w:val="231F20"/>
          <w:spacing w:val="6"/>
        </w:rPr>
        <w:t>46</w:t>
      </w:r>
      <w:r>
        <w:rPr>
          <w:color w:val="231F20"/>
          <w:spacing w:val="6"/>
        </w:rPr>
        <w:t>个基点（见图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1</w:t>
      </w:r>
      <w:r>
        <w:rPr>
          <w:color w:val="231F20"/>
          <w:spacing w:val="4"/>
        </w:rPr>
        <w:t>-</w:t>
      </w:r>
      <w:r>
        <w:rPr>
          <w:rFonts w:ascii="Times New Roman" w:hAnsi="Times New Roman" w:eastAsia="Times New Roman" w:cs="Times New Roman"/>
          <w:color w:val="231F20"/>
          <w:spacing w:val="4"/>
        </w:rPr>
        <w:t>5</w:t>
      </w:r>
      <w:r>
        <w:rPr>
          <w:color w:val="231F20"/>
          <w:spacing w:val="4"/>
        </w:rPr>
        <w:t>）。</w:t>
      </w:r>
    </w:p>
    <w:p>
      <w:pPr>
        <w:pStyle w:val="BodyText"/>
        <w:ind w:left="743"/>
        <w:spacing w:before="222" w:line="133" w:lineRule="exact"/>
        <w:rPr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86303A"/>
          <w:spacing w:val="5"/>
          <w:position w:val="-1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86303A"/>
          <w:spacing w:val="-2"/>
          <w:position w:val="-1"/>
        </w:rPr>
        <w:t xml:space="preserve"> </w:t>
      </w:r>
      <w:r>
        <w:rPr>
          <w:sz w:val="14"/>
          <w:szCs w:val="14"/>
          <w:color w:val="231F20"/>
          <w:spacing w:val="5"/>
          <w:position w:val="-1"/>
        </w:rPr>
        <w:t>美国10年期国债</w:t>
      </w:r>
      <w:r>
        <w:rPr>
          <w:sz w:val="14"/>
          <w:szCs w:val="14"/>
          <w:color w:val="231F20"/>
          <w:spacing w:val="5"/>
          <w:position w:val="-1"/>
        </w:rPr>
        <w:t xml:space="preserve">        </w:t>
      </w:r>
      <w:r>
        <w:rPr>
          <w:rFonts w:ascii="DejaVu Sans" w:hAnsi="DejaVu Sans" w:eastAsia="DejaVu Sans" w:cs="DejaVu Sans"/>
          <w:sz w:val="14"/>
          <w:szCs w:val="14"/>
          <w:color w:val="374F6E"/>
          <w:spacing w:val="5"/>
          <w:position w:val="-1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374F6E"/>
          <w:spacing w:val="-23"/>
          <w:position w:val="-1"/>
        </w:rPr>
        <w:t xml:space="preserve"> </w:t>
      </w:r>
      <w:r>
        <w:rPr>
          <w:sz w:val="14"/>
          <w:szCs w:val="14"/>
          <w:color w:val="231F20"/>
          <w:spacing w:val="5"/>
          <w:position w:val="-1"/>
        </w:rPr>
        <w:t>英国10年期国债</w:t>
      </w:r>
    </w:p>
    <w:p>
      <w:pPr>
        <w:pStyle w:val="BodyText"/>
        <w:ind w:left="211" w:right="732" w:firstLine="531"/>
        <w:spacing w:before="71" w:line="217" w:lineRule="auto"/>
        <w:rPr>
          <w:rFonts w:ascii="DejaVu Sans" w:hAnsi="DejaVu Sans" w:eastAsia="DejaVu Sans" w:cs="DejaVu Sans"/>
          <w:sz w:val="10"/>
          <w:szCs w:val="10"/>
        </w:rPr>
      </w:pPr>
      <w:r>
        <w:rPr>
          <w:sz w:val="12"/>
          <w:szCs w:val="12"/>
          <w:color w:val="231F20"/>
          <w:position w:val="5"/>
        </w:rPr>
        <w:drawing>
          <wp:inline distT="0" distB="0" distL="0" distR="0">
            <wp:extent cx="138696" cy="12700"/>
            <wp:effectExtent l="0" t="0" r="0" b="0"/>
            <wp:docPr id="42" name="IM 42"/>
            <wp:cNvGraphicFramePr/>
            <a:graphic>
              <a:graphicData uri="http://schemas.openxmlformats.org/drawingml/2006/picture">
                <pic:pic>
                  <pic:nvPicPr>
                    <pic:cNvPr id="42" name="IM 4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696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2"/>
          <w:szCs w:val="12"/>
          <w:color w:val="231F20"/>
          <w:spacing w:val="5"/>
        </w:rPr>
        <w:t xml:space="preserve"> </w:t>
      </w:r>
      <w:r>
        <w:rPr>
          <w:sz w:val="12"/>
          <w:szCs w:val="12"/>
          <w:color w:val="231F20"/>
          <w:spacing w:val="18"/>
        </w:rPr>
        <w:t>德国10年期国债</w:t>
      </w:r>
      <w:r>
        <w:rPr>
          <w:sz w:val="12"/>
          <w:szCs w:val="12"/>
          <w:color w:val="231F20"/>
        </w:rPr>
        <w:t xml:space="preserve">          </w:t>
      </w:r>
      <w:r>
        <w:rPr>
          <w:rFonts w:ascii="DejaVu Sans" w:hAnsi="DejaVu Sans" w:eastAsia="DejaVu Sans" w:cs="DejaVu Sans"/>
          <w:sz w:val="12"/>
          <w:szCs w:val="12"/>
          <w:color w:val="FAC195"/>
          <w:spacing w:val="18"/>
        </w:rPr>
        <w:t>—</w:t>
      </w:r>
      <w:r>
        <w:rPr>
          <w:rFonts w:ascii="DejaVu Sans" w:hAnsi="DejaVu Sans" w:eastAsia="DejaVu Sans" w:cs="DejaVu Sans"/>
          <w:sz w:val="12"/>
          <w:szCs w:val="12"/>
          <w:color w:val="FAC195"/>
          <w:spacing w:val="-4"/>
        </w:rPr>
        <w:t xml:space="preserve"> </w:t>
      </w:r>
      <w:r>
        <w:rPr>
          <w:sz w:val="12"/>
          <w:szCs w:val="12"/>
          <w:color w:val="231F20"/>
          <w:spacing w:val="18"/>
        </w:rPr>
        <w:t>日本10年期国债</w:t>
      </w:r>
      <w:r>
        <w:rPr>
          <w:sz w:val="12"/>
          <w:szCs w:val="12"/>
          <w:color w:val="231F20"/>
        </w:rPr>
        <w:t xml:space="preserve">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8"/>
        </w:rPr>
        <w:t>%</w:t>
      </w:r>
    </w:p>
    <w:p>
      <w:pPr>
        <w:ind w:left="178"/>
        <w:spacing w:before="57" w:line="222" w:lineRule="auto"/>
        <w:rPr>
          <w:rFonts w:ascii="DejaVu Sans" w:hAnsi="DejaVu Sans" w:eastAsia="DejaVu Sans" w:cs="DejaVu Sans"/>
          <w:sz w:val="9"/>
          <w:szCs w:val="9"/>
        </w:rPr>
      </w:pPr>
      <w:r>
        <w:pict>
          <v:group id="_x0000_s64" style="position:absolute;margin-left:19.8166pt;margin-top:4.87613pt;mso-position-vertical-relative:text;mso-position-horizontal-relative:text;width:185.85pt;height:104.4pt;z-index:251691008;" filled="false" stroked="false" coordsize="3717,2088" coordorigin="0,0">
            <v:shape id="_x0000_s66" style="position:absolute;left:0;top:0;width:3712;height:2088;" filled="false" strokecolor="#231F20" strokeweight="0.50pt" coordsize="3712,2088" coordorigin="0,0" path="m5,2082l5,5m5,5l50,5m5,212l50,212m5,420l50,420m5,628l50,628m5,836l50,836m5,1043l50,1043m5,1251l50,1251m5,1459l50,1459m5,1667l50,1667m5,1875l50,1875m5,2082l50,2082m5,2082l3711,2082m3691,2028l3691,2082m3387,2028l3387,2082m3073,2028l3073,2082m2769,2028l2769,2082m2455,2028l2455,2082m2141,2028l2141,2082m1837,2028l1837,2082m1523,2028l1523,2082m1220,2028l1220,2082m906,2028l906,2082m612,2028l612,2082m318,2028l318,2082m5,2028l5,2082e">
              <v:stroke miterlimit="10"/>
            </v:shape>
            <v:shape id="_x0000_s68" style="position:absolute;left:10;top:119;width:3707;height:465;" filled="false" strokecolor="#EE4256" strokeweight="1.00pt" coordsize="3707,465" coordorigin="0,0" path="m10,321l20,338m20,338l30,305m30,305l40,280m40,280l70,296m70,296l80,296m80,292l91,284m91,284l101,309m101,309l111,317l151,271l161,259m161,259l172,242m172,242l182,242m182,238l212,255m212,255l222,242m222,242l232,226m232,226l242,242m242,242l253,242m253,238l283,267m283,267l293,275m293,275l303,305m303,305l313,354m313,354l323,288m323,288l354,230m354,230l364,263m364,263l374,263m374,263l384,238m384,238l394,230m394,230l425,230m425,230l435,172m435,172l445,188m445,188l455,201m455,201l465,176l506,188l516,167m516,167l526,167m526,163l536,192m536,192l566,184m566,184l577,172m577,172l587,188m587,188l597,197m597,197l607,221m607,221l637,209m637,209l647,246m647,246l658,255m658,255l668,263m668,263l678,263m678,263l708,263m708,259l718,234m718,234l728,221m728,221l739,180m739,180l749,172m749,172l779,159m779,159l789,176m789,176l799,188m799,188l809,188m809,188l820,209m820,209l850,197m850,197l860,197m860,201l870,217m870,217l880,217l921,163l931,151m931,151l941,151m941,151l951,172m951,172l961,138m961,138l992,126m992,126l1002,151m1002,151l1012,72m1012,72l1022,72m1022,68l1032,93m1032,93l1063,39m1063,39l1073,22m1073,22l1083,55m1083,55l1093,34m1093,34l1103,43m1103,43l1134,43m1134,43l1144,43m1144,47l1154,30m1154,30l1164,10m1164,10l1174,22m1174,22l1204,39m1204,39l1215,14m1215,14l1225,39m1225,39l1235,59m1235,59l1245,93m1245,93l1275,93m1275,97l1285,105m1285,105l1296,105m1296,101l1306,113m1306,113l1316,93m1316,93l1346,101m1346,101l1356,113m1356,113l1366,151m1366,151l1377,142m1377,142l1387,126m1387,126l1417,118m1417,118l1427,130m1427,130l1437,122m1437,122l1447,105m1447,105l1458,105l1498,76l1508,47m1508,47l1518,72m1518,72l1528,88m1528,88l1559,130m1559,130l1569,163m1569,163l1579,180m1579,180l1589,180m1589,184l1599,122m1599,122l1630,105m1630,105l1640,138m1640,138l1650,172m1650,172l1660,201m1660,201l1670,217m1670,217l1701,184m1701,184l1711,209l1731,197l1741,197m1741,197l1772,197m1772,197l1782,205m1782,205l1792,167m1792,167l1802,180m1802,180l1812,151m1812,151l1842,101m1842,101l1853,122m1853,122l1863,151l1883,184l1913,184m1913,184l1923,176m1923,176l1934,184m1934,184l1944,217m1944,217l1954,226m1954,226l1984,205m1984,205l1994,230m1994,230l2004,230m2004,234l2015,217m2015,217l2025,197m2025,197l2055,197m2055,192l2065,192m2065,197l2075,184m2075,184l2085,184m2085,188l2096,217m2096,217l2126,230m2126,230l2136,238m2136,238l2146,263m2146,263l2156,305m2156,305l2166,384m2166,384l2197,392m2197,392l2207,342m2207,342l2217,317m2217,317l2227,305m2227,305l2237,325m2237,325l2268,342m2268,342l2278,363m2278,363l2288,371m2288,371l2298,334m2298,334l2308,346m2308,346l2339,359m2339,359l2349,375m2349,375l2359,388m2359,388l2369,359m2369,359l2379,379m2379,379l2410,379m2410,375l2420,375m2420,371l2430,371m2430,367l2440,354m2440,354l2450,338l2490,367l2501,396m2501,396l2511,413m2511,413l2521,413m2521,417l2551,425m2551,425l2561,446m2561,446l2572,446m2572,446l2582,433m2582,433l2592,442m2592,442l2622,454m2622,454l2632,446m2632,446l2642,425m2642,425l2653,413m2653,413l2663,413m2663,413l2693,404m2693,404l2703,404m2703,408l2713,388m2713,388l2723,388m2723,388l2734,404m2734,404l2764,379m2764,379l2774,408m2774,408l2784,388m2784,388l2794,363m2794,363l2804,309m2804,309l2835,288m2835,288l2845,288m2845,284l2855,275m2855,275l2865,263m2865,263l2875,263l2916,288l2926,288m2926,292l2936,263m2936,263l2946,263m2946,267l2977,221m2977,221l2987,221m2987,217l2997,201m2997,201l3007,213m3007,213l3017,197m3017,197l3047,184m3047,184l3058,184m3058,184l3068,184m3068,180l3078,180m3078,184l3088,147m3088,147l3118,172m3118,172l3128,192m3128,192l3139,126m3139,126l3149,172m3149,172l3159,172l3199,122l3209,122m3209,118l3220,118m3220,122l3230,122m3230,122l3260,122m3260,126l3270,138m3270,138l3280,130m3280,130l3290,122m3290,122l3301,130m3301,130l3331,188m3331,188l3341,176m3341,176l3351,196l3372,226l3402,226m3402,221l3412,205m3412,205l3422,221m3422,221l3432,230m3432,230l3442,238m3442,238l3473,217m3473,217l3483,209m3483,209l3493,192m3493,192l3503,167m3503,167l3513,134m3513,134l3544,134m3544,138l3554,138m3554,134l3564,93m3564,93l3574,64m3574,64l3584,84m3584,84l3615,55m3615,55l3625,55m3645,59l3655,43m3655,43l3685,72m3685,72l3696,59e">
              <v:stroke endcap="round" miterlimit="10"/>
            </v:shape>
            <v:shape id="_x0000_s70" style="position:absolute;left:10;top:147;width:3707;height:401;" filled="false" strokecolor="#4E86C6" strokeweight="1.00pt" coordsize="3707,401" coordorigin="0,0" path="m10,390l20,371m20,371l30,356m30,356l40,340m40,340l70,330m70,330l80,330m80,328l91,328m91,321l101,306m101,306l111,323m111,323l141,323m141,323l151,323m151,319l161,253m161,253l172,268m172,268l182,268m182,274l212,283m212,283l222,249m222,249l232,237m232,237l242,249m242,249l253,249m253,248l283,275m283,275l293,275m293,270l303,317m303,317l313,340m313,340l323,270m323,270l354,223m354,223l364,260m364,260l374,253m374,253l384,223m384,223l394,206m394,206l425,214m425,214l435,186m435,186l445,218m445,218l455,218m455,222l465,198m465,198l496,198m496,195l506,219m506,219l516,204m516,204l526,204m526,203l536,218m536,218l566,209m566,209l577,192m577,192l587,192m587,189l597,216m597,216l607,225m607,225l637,211m637,211l647,261m647,261l658,261m658,261l668,261m668,261l678,272m678,272l708,272m708,278l718,286m718,286l728,261m728,261l739,233m739,233l749,233m749,226l779,226m779,231l789,245m789,245l799,245m799,245l809,270m809,270l820,289m820,289l850,268m850,268l860,277m860,277l870,289m870,289l880,289l931,234l941,234m941,238l951,263m951,263l961,237m961,237l992,230m992,230l1002,256m1002,256l1012,212m1012,212l1022,176m1022,176l1032,211m1032,211l1063,165m1063,165l1073,144m1073,144l1083,151m1083,151l1093,158m1093,158l1103,158m1103,164l1134,183m1134,183l1144,163m1144,163l1154,131m1154,131l1164,120m1164,120l1174,134m1174,134l1204,149m1204,149l1215,119m1215,119l1225,119m1225,114l1235,144m1235,144l1245,170l1285,213l1296,213m1296,214l1306,214m1306,210l1316,200m1316,200l1346,200m1346,199l1356,199m1356,200l1366,242m1366,242l1377,242m1377,243l1387,215m1387,215l1417,197m1417,197l1427,207m1427,207l1437,173m1437,173l1447,159m1447,159l1458,159l1498,161l1508,107m1508,107l1518,117m1518,117l1528,141m1528,141l1559,172m1559,172l1569,192m1569,192l1579,192m1579,191l1589,191m1589,196l1599,161m1599,161l1630,134m1630,134l1640,153m1640,153l1650,208m1650,208l1660,208m1660,203l1670,243m1670,243l1701,220m1701,220l1711,240m1711,240l1721,240m1721,234l1731,241m1731,241l1741,233m1741,233l1772,233m1772,230l1782,230m1782,236l1792,207m1792,207l1802,207m1802,209l1812,192m1812,192l1842,151m1842,151l1853,161m1853,161l1863,198m1863,198l1873,178m1873,178l1883,206m1883,206l1913,219m1913,219l1923,199m1923,199l1934,209m1934,209l1944,231m1944,231l1954,219m1954,219l1984,219m1984,224l1994,224m1994,224l2004,234m2004,234l2015,249m2015,249l2025,219m2025,219l2055,211m2055,211l2065,211m2065,212l2075,212m2075,209l2085,215m2085,215l2096,224m2096,224l2126,244m2126,244l2136,244m2136,248l2146,271m2146,271l2156,317m2156,317l2166,328m2166,328l2197,328m2197,325l2207,303m2207,303l2217,283m2217,283l2227,283m2227,281l2237,290m2237,290l2268,290m2268,290l2278,314m2278,314l2288,337m2288,337l2298,296m2298,296l2308,296m2308,296l2339,289m2339,289l2349,300m2349,300l2359,300m2359,306l2369,280m2369,280l2379,301l2420,275l2430,275m2430,273l2440,264m2440,264l2450,273m2450,273l2480,254m2480,254l2490,281m2490,281l2501,302m2501,302l2511,302m2511,305l2521,319m2521,319l2551,327m2551,327l2561,339m2561,339l2572,339m2572,339l2582,360m2582,360l2592,360m2592,364l2622,364m2622,370l2632,370m2632,364l2642,333m2642,333l2653,317m2653,317l2663,306m2663,306l2693,299m2693,299l2703,299m2703,298l2713,274m2713,274l2723,274m2723,275l2734,275m2734,272l2764,265m2764,265l2774,292m2774,292l2784,251m2784,251l2794,263m2794,263l2804,213m2804,213l2835,187m2835,187l2845,187m2845,193l2855,193m2855,196l2865,172m2865,172l2875,172m2875,170l2906,163m2906,163l2916,178m2916,178l2926,226m2926,226l2936,201m2936,201l2946,233m2946,233l2977,203m2977,203l2987,190m2987,190l2997,165m2997,165l3007,165m3007,165l3017,184m3017,184l3047,157m3047,157l3058,157m3058,152l3068,119m3068,119l3078,103m3078,103l3088,90m3088,90l3118,82m3118,82l3128,43m3128,43l3139,43m3139,48l3149,74m3149,74l3159,74m3159,80l3189,105m3189,105l3199,98m3199,98l3209,80m3209,80l3220,80m3220,81l3230,89m3230,89l3260,89m3260,95l3270,117m3270,117l3280,103m3280,103l3290,84m3290,84l3301,115m3301,115l3331,129m3331,129l3341,137m3341,137l3351,137m3351,140l3361,140m3361,140l3372,170m3372,170l3402,170m3402,176l3412,176m3412,170l3422,170m3422,169l3432,155m3432,155l3442,144m3442,144l3473,151m3473,151l3483,124m3483,124l3493,124m3493,124l3503,115m3503,115l3513,78m3513,78l3544,70m3544,70l3554,57m3554,57l3564,57m3564,56l3574,56m3574,52l3584,72m3584,72l3615,22m3615,22l3625,10l3655,23l3685,23m3685,26l3696,58e">
              <v:stroke endcap="round" miterlimit="10"/>
            </v:shape>
            <v:shape id="_x0000_s72" style="position:absolute;left:10;top:950;width:3696;height:286;" filled="false" strokecolor="#C6DB63" strokeweight="1.00pt" coordsize="3696,286" coordorigin="0,0" path="m10,259l20,271m20,271l30,271m30,271l40,234m40,234l70,234m70,234l80,226m80,226l91,213m91,213l101,213m101,213l111,226m111,226l141,217m141,217l151,205m151,205l161,192m161,192l172,172m172,172l182,163m182,163l212,180m212,180l222,172m222,172l232,172m232,167l242,147m242,147l253,192m253,192l283,205m283,205l293,205m293,201l303,209m303,209l313,209m313,213l323,230m323,230l354,184m354,184l364,163m364,163l374,184m374,184l384,176m384,176l394,155m394,155l425,155m425,155l435,155m435,151l445,151m445,147l455,172m455,172l465,142m465,142l496,142m496,138l506,138m506,142l516,142m516,138l526,113m526,113l536,105m536,105l566,151m566,151l577,126m577,126l587,113m587,113l597,88m597,88l607,130m607,130l637,142m637,142l647,142m647,147l658,155m658,155l668,172m668,172l678,188m678,188l708,188m708,192l718,180m718,180l728,172m728,172l739,147m739,147l749,118m749,118l779,109m779,109l789,118m789,118l799,126m799,126l809,138m809,138l820,147m820,147l850,159m850,159l860,159m860,155l870,163m870,163l880,172l931,151l941,138m941,138l951,147m951,147l961,147m961,151l992,113m992,113l1002,134m1002,134l1012,155m1012,155l1022,105m1022,105l1032,142m1032,142l1063,142m1063,138l1073,113m1073,113l1083,101m1083,101l1093,118m1093,118l1103,109m1103,109l1134,80m1134,80l1144,97m1144,97l1154,76m1154,76l1164,64m1164,64l1174,51m1174,51l1204,80m1204,80l1215,72l1235,72l1245,80m1245,80l1275,113m1275,113l1285,113m1285,118l1296,118m1296,118l1306,93m1306,93l1316,109m1316,109l1346,84m1346,84l1356,84m1356,88l1366,101m1366,101l1377,126m1377,126l1387,101m1387,101l1417,84m1417,84l1427,93m1427,93l1437,80m1437,80l1447,72m1447,72l1458,59m1458,59l1488,59m1488,55l1498,72m1498,72l1508,43m1508,43l1518,22m1518,22l1528,10m1528,10l1559,30m1559,30l1569,68m1569,68l1579,76m1579,76l1589,76m1589,80l1599,64m1599,64l1630,30m1630,30l1640,30m1640,26l1650,55m1650,55l1660,72m1660,72l1670,138m1670,138l1701,138m1701,134l1711,126m1711,126l1721,134m1721,134l1731,122m1731,122l1741,147m1741,147l1772,126m1772,126l1782,126m1782,130l1792,122m1792,122l1802,105m1802,105l1812,105m1812,109l1842,59m1842,59l1853,51m1853,51l1863,39m1863,39l1873,51m1873,51l1883,51m1883,55l1913,64m1913,64l1923,64m1923,68l1934,76m1934,76l1944,76m1944,76l1954,88m1954,88l1984,105m1984,105l1994,118m1994,118l2004,130m2004,130l2015,118m2015,118l2025,126m2025,126l2055,101m2055,101l2065,109m2065,109l2075,122m2075,122l2085,122m2085,126l2096,118m2096,118l2126,151m2126,151l2136,151m2136,147l2146,163m2146,163l2156,180m2156,180l2166,209m2166,209l2197,246m2197,246l2207,230m2207,230l2217,188m2217,188l2227,205m2227,205l2237,197m2237,197l2268,197m2268,201l2278,201m2278,205l2288,217m2288,217l2298,217m2298,221l2308,201m2308,201l2339,209m2339,209l2349,201m2349,201l2359,209m2359,209l2369,209m2369,209l2379,197m2379,197l2410,205m2410,205l2420,188m2420,188l2430,197m2430,197l2440,205m2440,205l2450,192m2450,192l2480,163m2480,163l2490,163m2490,163l2501,197m2501,197l2511,209m2511,209l2521,230m2521,230l2551,201m2551,201l2561,230m2561,230l2572,255m2572,255l2582,246m2582,246l2592,246m2592,246l2622,238m2622,238l2632,259m2632,259l2642,230m2642,230l2653,217m2653,217l2663,226m2663,226l2693,234m2693,234l2703,221m2703,221l2713,234m2713,234l2723,234m2723,238l2734,246m2734,246l2764,234m2764,234l2774,275m2774,275l2784,267m2784,267l2794,246m2794,246l2804,230m2804,230l2835,197m2835,197l2845,197m2845,197l2855,205m2855,205l2865,188m2865,188l2875,180m2875,180l2906,192m2906,192l2916,205m2916,205l2926,221m2926,221l2936,213m2936,213l2946,213m2946,213l2977,201m2977,201l2987,167m2987,167l2997,167m2997,167l3007,188m3007,188l3017,188m3017,184l3047,184m3047,180l3058,167m3058,167l3068,167m3068,172l3078,130m3078,130l3088,130m3088,134l3118,122m3118,122l3128,122m3128,126l3139,138m3139,138l3149,101m3149,101l3159,142m3159,142l3189,167m3189,167l3199,167m3199,172l3209,142m3209,142l3220,142m3220,138l3230,163m3230,163l3260,138m3260,138l3270,176m3270,176l3280,151m3280,151l3290,167m3290,167l3301,201m3301,201l3331,201m3331,201l3341,217m3341,217l3351,238m3351,238l3361,238m3361,234l3372,255m3372,255l3402,275m3402,275l3412,275m3412,271l3422,271m3422,267l3432,267m3432,271l3442,251m3442,251l3473,251m3473,255l3483,255m3483,251l3493,251m3493,251l3503,230m3503,230l3513,205m3513,205l3544,205m3544,201l3554,201m3554,205l3564,197m3564,197l3574,184m3574,184l3584,176m3584,176l3615,176l3655,138l3685,138e">
              <v:stroke endcap="round" miterlimit="10"/>
            </v:shape>
            <v:shape id="_x0000_s74" style="position:absolute;left:30;top:1607;width:3676;height:252;" filled="false" strokecolor="#FAC195" strokeweight="1.00pt" coordsize="3676,252" coordorigin="0,0" path="m10,205l20,205l60,219l70,219m70,216l80,216m80,223l91,223m91,229l121,241m121,241l131,227m131,227l141,227m141,220l151,202m151,202l161,202m161,196l192,196m192,201l202,201m202,207l212,175m212,175l222,163m222,163l232,175m232,175l263,175m263,172l273,172m273,178l283,168m283,168l293,184m293,184l303,197m303,197l334,173m334,173l344,173m344,173l354,173m354,178l364,178m364,181l374,171l415,169l425,157m425,157l435,169m435,169l445,169m445,168l475,168m475,168l485,168m485,166l496,166m496,170l506,170l546,184l556,184m556,182l566,182m566,180l577,180m577,174l587,174m587,172l617,172m617,173l627,173m627,178l637,178m637,173l647,173m647,167l658,167m658,165l688,152m688,152l698,152m698,149l708,149m708,153l718,145m718,145l728,145m728,141l759,153m759,153l769,165l789,158l799,158m799,158l830,158m830,162l840,162m840,160l850,168m850,168l860,168m860,171l870,163m870,163l901,163m901,157l911,157m911,155l921,155m921,155l931,155m931,150l941,150m941,154l972,145m972,145l982,145m982,148l992,148m992,142l1002,120m1002,120l1012,120m1012,115l1042,115m1042,115l1053,115m1053,113l1063,105m1063,105l1073,113m1073,113l1083,127m1083,127l1113,107m1113,107l1123,107m1123,106l1134,106m1134,104l1144,104m1144,102l1154,90l1194,109l1204,101m1204,101l1215,101l1265,108l1275,108m1275,106l1285,94m1285,94l1296,94m1296,93l1326,81m1326,81l1336,72m1336,72l1346,72m1346,75l1356,86m1356,86l1366,77m1366,77l1397,64m1397,64l1407,64m1407,62l1417,62m1417,56l1427,56m1427,54l1437,54m1437,52l1468,52m1468,46l1478,46m1478,39l1488,24m1488,24l1498,32m1498,32l1508,32m1508,26l1539,26m1539,29l1549,41m1549,41l1559,53m1559,53l1569,71m1569,71l1579,71m1579,65l1610,40m1610,40l1620,40m1620,44l1630,59m1630,59l1640,66m1640,66l1650,80m1650,80l1680,80m1680,81l1691,81m1691,74l1701,74m1701,78l1711,70m1711,70l1721,59m1721,59l1751,59m1751,55l1761,55m1761,51l1772,41m1772,41l1782,21m1782,21l1792,33m1792,33l1822,24m1822,24l1832,16m1832,16l1842,16m1842,17l1853,17m1853,23l1863,23m1863,29l1893,21m1893,21l1903,21m1903,26l1913,26m1913,20l1923,20m1923,22l1934,36l1974,46l1984,46m1984,41l1994,41m1994,39l2004,39m2004,37l2035,37m2035,33l2045,33m2045,29l2055,29m2055,24l2065,24m2065,27l2075,27m2075,31l2106,42m2106,42l2116,54m2116,54l2126,30m2126,30l2136,40m2136,40l2146,70m2146,70l2177,150m2177,150l2187,97m2187,97l2197,97m2197,101l2207,119m2207,119l2217,108l2258,113l2268,128m2268,128l2278,117m2278,117l2288,101m2288,101l2318,101m2318,95l2328,95m2328,94l2339,102m2339,102l2349,102m2349,101l2359,93m2359,93l2389,93m2389,96l2399,96m2399,98l2409,98m2409,92l2420,92m2420,93l2430,93m2430,91l2460,91m2460,86l2470,86m2470,79l2480,93m2480,93l2490,93m2490,99l2501,109m2501,109l2531,90m2531,90l2541,90m2541,90l2551,106m2551,106l2561,106m2561,102l2572,110l2612,116l2622,116m2622,117l2632,105m2632,105l2642,105l2683,122l2693,122m2693,120l2703,112m2703,112l2713,122m2713,122l2744,103m2744,103l2754,103m2754,103l2764,118m2764,118l2774,118m2774,114l2784,106m2784,106l2815,90m2815,90l2825,90m2825,90l2835,90m2835,86l2845,76m2845,76l2855,76l2896,69l2906,77m2906,77l2916,77m2916,73l2926,73m2926,71l2956,71m2956,74l2966,66m2966,66l2977,66m2977,66l2987,74m2987,74l2997,74m2997,78l3027,67m3027,67l3037,67m3037,67l3047,75m3047,75l3058,75m3058,81l3068,81l3108,82l3118,62m3118,62l3128,52m3128,52l3139,52m3139,54l3169,54m3169,55l3179,55m3179,51l3189,37m3189,37l3199,37m3199,30l3209,30m3209,25l3240,25m3240,24l3250,24m3250,27l3260,27m3260,27l3270,15m3270,15l3280,15m3280,21l3311,21m3311,24l3321,24m3321,28l3331,28m3331,24l3341,32m3341,32l3351,32m3351,32l3382,21m3382,21l3392,21m3392,21l3402,31m3402,31l3412,31m3412,25l3422,25m3422,31l3453,31m3453,37l3463,27m3463,27l3473,27m3473,24l3483,32m3483,32l3493,32m3493,36l3523,24m3523,24l3534,24m3534,20l3544,20m3544,26l3554,19m3554,19l3564,30m3564,30l3594,30m3594,25l3604,25m3604,23l3615,23m3615,23l3625,16m3625,16l3635,16m3635,10l3665,10e">
              <v:stroke endcap="round" miterlimit="10"/>
            </v:shape>
          </v:group>
        </w:pict>
      </w:r>
      <w:r>
        <w:rPr>
          <w:rFonts w:ascii="DejaVu Sans" w:hAnsi="DejaVu Sans" w:eastAsia="DejaVu Sans" w:cs="DejaVu Sans"/>
          <w:sz w:val="9"/>
          <w:szCs w:val="9"/>
          <w:color w:val="231F20"/>
          <w:spacing w:val="-2"/>
        </w:rPr>
        <w:t>5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13"/>
        </w:rPr>
        <w:t xml:space="preserve">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2"/>
        </w:rPr>
        <w:t>.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17"/>
        </w:rPr>
        <w:t xml:space="preserve">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2"/>
        </w:rPr>
        <w:t>0</w:t>
      </w:r>
    </w:p>
    <w:p>
      <w:pPr>
        <w:ind w:left="175"/>
        <w:spacing w:before="111" w:line="222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6"/>
        </w:rPr>
        <w:t>4.5</w:t>
      </w:r>
    </w:p>
    <w:p>
      <w:pPr>
        <w:ind w:left="175"/>
        <w:spacing w:before="112" w:line="196" w:lineRule="auto"/>
        <w:rPr>
          <w:rFonts w:ascii="DejaVu Sans" w:hAnsi="DejaVu Sans" w:eastAsia="DejaVu Sans" w:cs="DejaVu Sans"/>
          <w:sz w:val="10"/>
          <w:szCs w:val="10"/>
        </w:rPr>
      </w:pPr>
      <w:r>
        <w:rPr>
          <w:rFonts w:ascii="DejaVu Sans" w:hAnsi="DejaVu Sans" w:eastAsia="DejaVu Sans" w:cs="DejaVu Sans"/>
          <w:sz w:val="10"/>
          <w:szCs w:val="10"/>
          <w:color w:val="231F20"/>
          <w:spacing w:val="3"/>
        </w:rPr>
        <w:t>4.0</w:t>
      </w:r>
    </w:p>
    <w:p>
      <w:pPr>
        <w:ind w:left="180"/>
        <w:spacing w:before="112" w:line="222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5"/>
        </w:rPr>
        <w:t>3.5</w:t>
      </w:r>
    </w:p>
    <w:p>
      <w:pPr>
        <w:ind w:left="180"/>
        <w:spacing w:before="112" w:line="218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-2"/>
        </w:rPr>
        <w:t>3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15"/>
        </w:rPr>
        <w:t xml:space="preserve">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2"/>
        </w:rPr>
        <w:t>.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16"/>
        </w:rPr>
        <w:t xml:space="preserve">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2"/>
        </w:rPr>
        <w:t>0</w:t>
      </w:r>
    </w:p>
    <w:p>
      <w:pPr>
        <w:ind w:left="178"/>
        <w:spacing w:before="111" w:line="222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6"/>
        </w:rPr>
        <w:t>2.5</w:t>
      </w:r>
    </w:p>
    <w:p>
      <w:pPr>
        <w:ind w:left="178"/>
        <w:spacing w:before="113" w:line="218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7"/>
        </w:rPr>
        <w:t>2</w:t>
      </w:r>
      <w:r>
        <w:rPr>
          <w:rFonts w:ascii="DejaVu Sans" w:hAnsi="DejaVu Sans" w:eastAsia="DejaVu Sans" w:cs="DejaVu Sans"/>
          <w:sz w:val="9"/>
          <w:szCs w:val="9"/>
          <w:color w:val="231E20"/>
          <w:spacing w:val="7"/>
        </w:rPr>
        <w:t>.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7"/>
        </w:rPr>
        <w:t>0</w:t>
      </w:r>
    </w:p>
    <w:p>
      <w:pPr>
        <w:ind w:left="189"/>
        <w:spacing w:before="110" w:line="222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E20"/>
          <w:spacing w:val="-6"/>
        </w:rPr>
        <w:t>1</w:t>
      </w:r>
      <w:r>
        <w:rPr>
          <w:rFonts w:ascii="DejaVu Sans" w:hAnsi="DejaVu Sans" w:eastAsia="DejaVu Sans" w:cs="DejaVu Sans"/>
          <w:sz w:val="9"/>
          <w:szCs w:val="9"/>
          <w:color w:val="231E20"/>
          <w:spacing w:val="-5"/>
        </w:rPr>
        <w:t xml:space="preserve">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6"/>
        </w:rPr>
        <w:t>.5</w:t>
      </w:r>
    </w:p>
    <w:p>
      <w:pPr>
        <w:ind w:left="189"/>
        <w:spacing w:before="113" w:line="218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-8"/>
        </w:rPr>
        <w:t>1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6"/>
        </w:rPr>
        <w:t xml:space="preserve">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8"/>
        </w:rPr>
        <w:t>.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17"/>
        </w:rPr>
        <w:t xml:space="preserve">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-8"/>
        </w:rPr>
        <w:t>0</w:t>
      </w:r>
    </w:p>
    <w:p>
      <w:pPr>
        <w:ind w:left="177"/>
        <w:spacing w:before="111" w:line="222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6"/>
        </w:rPr>
        <w:t>0.5</w:t>
      </w:r>
    </w:p>
    <w:p>
      <w:pPr>
        <w:ind w:firstLine="177"/>
        <w:spacing w:before="112" w:line="96" w:lineRule="exact"/>
        <w:rPr/>
      </w:pPr>
      <w:r>
        <w:rPr>
          <w:position w:val="-1"/>
        </w:rPr>
        <w:drawing>
          <wp:inline distT="0" distB="0" distL="0" distR="0">
            <wp:extent cx="106264" cy="60414"/>
            <wp:effectExtent l="0" t="0" r="0" b="0"/>
            <wp:docPr id="44" name="IM 44"/>
            <wp:cNvGraphicFramePr/>
            <a:graphic>
              <a:graphicData uri="http://schemas.openxmlformats.org/drawingml/2006/picture">
                <pic:pic>
                  <pic:nvPicPr>
                    <pic:cNvPr id="44" name="IM 4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264" cy="6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8"/>
        <w:spacing w:before="35" w:line="414" w:lineRule="exact"/>
        <w:rPr/>
      </w:pPr>
      <w:r>
        <w:rPr>
          <w:position w:val="-8"/>
        </w:rPr>
        <w:drawing>
          <wp:inline distT="0" distB="0" distL="0" distR="0">
            <wp:extent cx="2603902" cy="262363"/>
            <wp:effectExtent l="0" t="0" r="0" b="0"/>
            <wp:docPr id="46" name="IM 46"/>
            <wp:cNvGraphicFramePr/>
            <a:graphic>
              <a:graphicData uri="http://schemas.openxmlformats.org/drawingml/2006/picture">
                <pic:pic>
                  <pic:nvPicPr>
                    <pic:cNvPr id="46" name="IM 4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3902" cy="26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05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图1-5</w:t>
      </w:r>
      <w:r>
        <w:rPr>
          <w:sz w:val="18"/>
          <w:szCs w:val="18"/>
          <w:color w:val="231F20"/>
          <w:spacing w:val="10"/>
          <w:w w:val="101"/>
        </w:rPr>
        <w:t xml:space="preserve">    </w:t>
      </w:r>
      <w:r>
        <w:rPr>
          <w:sz w:val="18"/>
          <w:szCs w:val="18"/>
          <w:color w:val="231F20"/>
        </w:rPr>
        <w:t>主要发达经济体国债收益率走势</w:t>
      </w:r>
    </w:p>
    <w:p>
      <w:pPr>
        <w:pStyle w:val="BodyText"/>
        <w:ind w:left="1064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（数据来源：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Wind</w:t>
      </w:r>
      <w:r>
        <w:rPr>
          <w:sz w:val="18"/>
          <w:szCs w:val="18"/>
          <w:color w:val="231F20"/>
        </w:rPr>
        <w:t>数据）</w:t>
      </w:r>
    </w:p>
    <w:p>
      <w:pPr>
        <w:pStyle w:val="BodyText"/>
        <w:ind w:firstLine="432"/>
        <w:spacing w:before="299" w:line="246" w:lineRule="auto"/>
        <w:jc w:val="both"/>
        <w:rPr>
          <w:rFonts w:ascii="Times New Roman" w:hAnsi="Times New Roman" w:eastAsia="Times New Roman" w:cs="Times New Roman"/>
        </w:rPr>
      </w:pPr>
      <w:r>
        <w:rPr>
          <w:color w:val="231F20"/>
        </w:rPr>
        <w:t>主要发达经济体股市普遍上行。   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color w:val="231F20"/>
        </w:rPr>
        <w:t>年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9"/>
        </w:rPr>
        <w:t>以来，人工智能等相关科技股屡创新高，带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动全球股市上行。</w:t>
      </w:r>
      <w:r>
        <w:rPr>
          <w:color w:val="231F20"/>
          <w:spacing w:val="5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9"/>
        </w:rPr>
        <w:t>8</w:t>
      </w:r>
      <w:r>
        <w:rPr>
          <w:color w:val="231F20"/>
          <w:spacing w:val="9"/>
        </w:rPr>
        <w:t>月初，受日本央行加息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等因素影响，全球股市出现阶段性震荡，日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经</w:t>
      </w:r>
      <w:r>
        <w:rPr>
          <w:rFonts w:ascii="Times New Roman" w:hAnsi="Times New Roman" w:eastAsia="Times New Roman" w:cs="Times New Roman"/>
          <w:color w:val="231F20"/>
          <w:spacing w:val="6"/>
        </w:rPr>
        <w:t>225</w:t>
      </w:r>
      <w:r>
        <w:rPr>
          <w:color w:val="231F20"/>
          <w:spacing w:val="6"/>
        </w:rPr>
        <w:t>指数单日最大跌幅达</w:t>
      </w:r>
      <w:r>
        <w:rPr>
          <w:rFonts w:ascii="Times New Roman" w:hAnsi="Times New Roman" w:eastAsia="Times New Roman" w:cs="Times New Roman"/>
          <w:color w:val="231F20"/>
          <w:spacing w:val="6"/>
        </w:rPr>
        <w:t>12.4%</w:t>
      </w:r>
      <w:r>
        <w:rPr>
          <w:color w:val="231F20"/>
          <w:spacing w:val="6"/>
        </w:rPr>
        <w:t>。随着市场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9"/>
        </w:rPr>
        <w:t>情绪缓和，全球股市逐渐企稳，恢复上行趋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势。美国道琼斯工业平均指数、欧元区斯托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克</w:t>
      </w:r>
      <w:r>
        <w:rPr>
          <w:rFonts w:ascii="Times New Roman" w:hAnsi="Times New Roman" w:eastAsia="Times New Roman" w:cs="Times New Roman"/>
          <w:color w:val="231F20"/>
          <w:spacing w:val="7"/>
        </w:rPr>
        <w:t>50</w:t>
      </w:r>
      <w:r>
        <w:rPr>
          <w:color w:val="231F20"/>
          <w:spacing w:val="7"/>
        </w:rPr>
        <w:t>指数、英国富时</w:t>
      </w:r>
      <w:r>
        <w:rPr>
          <w:rFonts w:ascii="Times New Roman" w:hAnsi="Times New Roman" w:eastAsia="Times New Roman" w:cs="Times New Roman"/>
          <w:color w:val="231F20"/>
          <w:spacing w:val="7"/>
        </w:rPr>
        <w:t>100</w:t>
      </w:r>
      <w:r>
        <w:rPr>
          <w:color w:val="231F20"/>
          <w:spacing w:val="7"/>
        </w:rPr>
        <w:t>指数和日经</w:t>
      </w:r>
      <w:r>
        <w:rPr>
          <w:rFonts w:ascii="Times New Roman" w:hAnsi="Times New Roman" w:eastAsia="Times New Roman" w:cs="Times New Roman"/>
          <w:color w:val="231F20"/>
          <w:spacing w:val="7"/>
        </w:rPr>
        <w:t>225</w:t>
      </w:r>
      <w:r>
        <w:rPr>
          <w:color w:val="231F20"/>
          <w:spacing w:val="7"/>
        </w:rPr>
        <w:t>指数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7"/>
        </w:rPr>
        <w:t>全年分别上涨</w:t>
      </w:r>
      <w:r>
        <w:rPr>
          <w:rFonts w:ascii="Times New Roman" w:hAnsi="Times New Roman" w:eastAsia="Times New Roman" w:cs="Times New Roman"/>
          <w:color w:val="231F20"/>
          <w:spacing w:val="7"/>
        </w:rPr>
        <w:t>12.9%</w:t>
      </w:r>
      <w:r>
        <w:rPr>
          <w:rFonts w:ascii="Times New Roman" w:hAnsi="Times New Roman" w:eastAsia="Times New Roman" w:cs="Times New Roman"/>
          <w:color w:val="231F20"/>
          <w:spacing w:val="-15"/>
        </w:rPr>
        <w:t xml:space="preserve"> </w:t>
      </w:r>
      <w:r>
        <w:rPr>
          <w:color w:val="231F20"/>
          <w:spacing w:val="7"/>
        </w:rPr>
        <w:t>、</w:t>
      </w:r>
      <w:r>
        <w:rPr>
          <w:color w:val="231F20"/>
          <w:spacing w:val="-1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7"/>
        </w:rPr>
        <w:t>8.3%</w:t>
      </w:r>
      <w:r>
        <w:rPr>
          <w:rFonts w:ascii="Times New Roman" w:hAnsi="Times New Roman" w:eastAsia="Times New Roman" w:cs="Times New Roman"/>
          <w:color w:val="231F20"/>
          <w:spacing w:val="-16"/>
        </w:rPr>
        <w:t xml:space="preserve"> </w:t>
      </w:r>
      <w:r>
        <w:rPr>
          <w:color w:val="231F20"/>
          <w:spacing w:val="7"/>
        </w:rPr>
        <w:t>、</w:t>
      </w:r>
      <w:r>
        <w:rPr>
          <w:color w:val="231F20"/>
          <w:spacing w:val="-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7"/>
        </w:rPr>
        <w:t>5.</w:t>
      </w:r>
      <w:r>
        <w:rPr>
          <w:rFonts w:ascii="Times New Roman" w:hAnsi="Times New Roman" w:eastAsia="Times New Roman" w:cs="Times New Roman"/>
          <w:color w:val="231F20"/>
          <w:spacing w:val="6"/>
        </w:rPr>
        <w:t>7%</w:t>
      </w:r>
      <w:r>
        <w:rPr>
          <w:color w:val="231F20"/>
          <w:spacing w:val="6"/>
        </w:rPr>
        <w:t>和</w:t>
      </w:r>
      <w:r>
        <w:rPr>
          <w:rFonts w:ascii="Times New Roman" w:hAnsi="Times New Roman" w:eastAsia="Times New Roman" w:cs="Times New Roman"/>
          <w:color w:val="231F20"/>
          <w:spacing w:val="6"/>
        </w:rPr>
        <w:t>19.2%</w:t>
      </w:r>
    </w:p>
    <w:p>
      <w:pPr>
        <w:spacing w:line="246" w:lineRule="auto"/>
        <w:sectPr>
          <w:type w:val="continuous"/>
          <w:pgSz w:w="11906" w:h="16158"/>
          <w:pgMar w:top="1367" w:right="1700" w:bottom="2064" w:left="1417" w:header="1044" w:footer="1731" w:gutter="0"/>
          <w:cols w:equalWidth="0" w:num="2">
            <w:col w:w="4525" w:space="100"/>
            <w:col w:w="4164" w:space="0"/>
          </w:cols>
        </w:sectPr>
        <w:rPr>
          <w:rFonts w:ascii="Times New Roman" w:hAnsi="Times New Roman" w:eastAsia="Times New Roman" w:cs="Times New Roman"/>
        </w:rPr>
      </w:pPr>
    </w:p>
    <w:p>
      <w:pPr>
        <w:spacing w:before="147"/>
        <w:rPr/>
      </w:pPr>
      <w:r/>
    </w:p>
    <w:p>
      <w:pPr>
        <w:sectPr>
          <w:headerReference w:type="default" r:id="rId28"/>
          <w:footerReference w:type="default" r:id="rId29"/>
          <w:pgSz w:w="11906" w:h="16158"/>
          <w:pgMar w:top="1384" w:right="1415" w:bottom="2070" w:left="1702" w:header="1061" w:footer="1701" w:gutter="0"/>
          <w:cols w:equalWidth="0" w:num="1">
            <w:col w:w="8788" w:space="0"/>
          </w:cols>
        </w:sectPr>
        <w:rPr/>
      </w:pPr>
    </w:p>
    <w:p>
      <w:pPr>
        <w:pStyle w:val="BodyText"/>
        <w:ind w:left="138"/>
        <w:spacing w:before="47" w:line="133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rFonts w:ascii="DejaVu Sans" w:hAnsi="DejaVu Sans" w:eastAsia="DejaVu Sans" w:cs="DejaVu Sans"/>
          <w:sz w:val="13"/>
          <w:szCs w:val="13"/>
          <w:color w:val="752D36"/>
          <w:spacing w:val="8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752D36"/>
          <w:spacing w:val="-21"/>
        </w:rPr>
        <w:t xml:space="preserve"> </w:t>
      </w:r>
      <w:r>
        <w:rPr>
          <w:sz w:val="13"/>
          <w:szCs w:val="13"/>
          <w:color w:val="231F20"/>
          <w:spacing w:val="8"/>
        </w:rPr>
        <w:t>道琼斯工业平均指数</w:t>
      </w:r>
      <w:r>
        <w:rPr>
          <w:sz w:val="13"/>
          <w:szCs w:val="13"/>
          <w:color w:val="231F20"/>
          <w:spacing w:val="8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8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8"/>
        </w:rPr>
        <w:t xml:space="preserve"> </w:t>
      </w:r>
      <w:r>
        <w:rPr>
          <w:sz w:val="13"/>
          <w:szCs w:val="13"/>
          <w:color w:val="231F20"/>
          <w:spacing w:val="8"/>
        </w:rPr>
        <w:t>左轴</w:t>
      </w:r>
      <w:r>
        <w:rPr>
          <w:sz w:val="13"/>
          <w:szCs w:val="13"/>
          <w:color w:val="231F20"/>
          <w:spacing w:val="14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8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8"/>
        </w:rPr>
        <w:t xml:space="preserve">  </w:t>
      </w:r>
      <w:r>
        <w:rPr>
          <w:sz w:val="13"/>
          <w:szCs w:val="13"/>
          <w:position w:val="4"/>
        </w:rPr>
        <w:drawing>
          <wp:inline distT="0" distB="0" distL="0" distR="0">
            <wp:extent cx="138696" cy="12700"/>
            <wp:effectExtent l="0" t="0" r="0" b="0"/>
            <wp:docPr id="48" name="IM 48"/>
            <wp:cNvGraphicFramePr/>
            <a:graphic>
              <a:graphicData uri="http://schemas.openxmlformats.org/drawingml/2006/picture">
                <pic:pic>
                  <pic:nvPicPr>
                    <pic:cNvPr id="48" name="IM 4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696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3"/>
          <w:szCs w:val="13"/>
          <w:color w:val="231F20"/>
          <w:spacing w:val="14"/>
        </w:rPr>
        <w:t xml:space="preserve"> </w:t>
      </w:r>
      <w:r>
        <w:rPr>
          <w:sz w:val="13"/>
          <w:szCs w:val="13"/>
          <w:color w:val="231F20"/>
          <w:spacing w:val="8"/>
        </w:rPr>
        <w:t>日经22</w:t>
      </w:r>
      <w:r>
        <w:rPr>
          <w:sz w:val="13"/>
          <w:szCs w:val="13"/>
          <w:color w:val="231F20"/>
          <w:spacing w:val="7"/>
        </w:rPr>
        <w:t>5指数</w:t>
      </w:r>
      <w:r>
        <w:rPr>
          <w:sz w:val="13"/>
          <w:szCs w:val="13"/>
          <w:color w:val="231F20"/>
          <w:spacing w:val="7"/>
        </w:rPr>
        <w:t xml:space="preserve">  </w:t>
      </w:r>
      <w:r>
        <w:rPr>
          <w:sz w:val="13"/>
          <w:szCs w:val="13"/>
          <w:color w:val="231F20"/>
          <w:spacing w:val="7"/>
        </w:rPr>
        <w:t>(左轴</w:t>
      </w:r>
      <w:r>
        <w:rPr>
          <w:sz w:val="13"/>
          <w:szCs w:val="13"/>
          <w:color w:val="231F20"/>
          <w:spacing w:val="16"/>
          <w:w w:val="102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21F20"/>
          <w:spacing w:val="7"/>
        </w:rPr>
        <w:t>)</w:t>
      </w:r>
    </w:p>
    <w:p>
      <w:pPr>
        <w:pStyle w:val="BodyText"/>
        <w:ind w:left="138"/>
        <w:spacing w:before="46" w:line="132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rFonts w:ascii="DejaVu Sans" w:hAnsi="DejaVu Sans" w:eastAsia="DejaVu Sans" w:cs="DejaVu Sans"/>
          <w:sz w:val="13"/>
          <w:szCs w:val="13"/>
          <w:color w:val="334761"/>
          <w:spacing w:val="12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334761"/>
          <w:spacing w:val="-13"/>
        </w:rPr>
        <w:t xml:space="preserve"> </w:t>
      </w:r>
      <w:r>
        <w:rPr>
          <w:sz w:val="13"/>
          <w:szCs w:val="13"/>
          <w:color w:val="231F20"/>
          <w:spacing w:val="12"/>
        </w:rPr>
        <w:t>欧元区斯托克50指数</w:t>
      </w:r>
      <w:r>
        <w:rPr>
          <w:sz w:val="13"/>
          <w:szCs w:val="13"/>
          <w:color w:val="231F20"/>
          <w:spacing w:val="12"/>
        </w:rPr>
        <w:t xml:space="preserve">  </w:t>
      </w:r>
      <w:r>
        <w:rPr>
          <w:sz w:val="13"/>
          <w:szCs w:val="13"/>
          <w:color w:val="231F20"/>
          <w:spacing w:val="12"/>
        </w:rPr>
        <w:t>(右轴</w:t>
      </w:r>
      <w:r>
        <w:rPr>
          <w:sz w:val="13"/>
          <w:szCs w:val="13"/>
          <w:color w:val="231F20"/>
          <w:spacing w:val="12"/>
          <w:w w:val="102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2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2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7F6452"/>
          <w:spacing w:val="12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7F6452"/>
          <w:spacing w:val="-19"/>
        </w:rPr>
        <w:t xml:space="preserve"> </w:t>
      </w:r>
      <w:r>
        <w:rPr>
          <w:sz w:val="13"/>
          <w:szCs w:val="13"/>
          <w:color w:val="231F20"/>
          <w:spacing w:val="12"/>
        </w:rPr>
        <w:t>英国富时100指数</w:t>
      </w:r>
      <w:r>
        <w:rPr>
          <w:sz w:val="13"/>
          <w:szCs w:val="13"/>
          <w:color w:val="231F20"/>
          <w:spacing w:val="12"/>
        </w:rPr>
        <w:t xml:space="preserve">  </w:t>
      </w:r>
      <w:r>
        <w:rPr>
          <w:sz w:val="13"/>
          <w:szCs w:val="13"/>
          <w:color w:val="231E20"/>
          <w:spacing w:val="12"/>
        </w:rPr>
        <w:t>(</w:t>
      </w:r>
      <w:r>
        <w:rPr>
          <w:sz w:val="13"/>
          <w:szCs w:val="13"/>
          <w:color w:val="231E20"/>
          <w:spacing w:val="11"/>
        </w:rPr>
        <w:t>右轴</w:t>
      </w:r>
      <w:r>
        <w:rPr>
          <w:sz w:val="13"/>
          <w:szCs w:val="13"/>
          <w:color w:val="231E20"/>
          <w:spacing w:val="15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1"/>
        </w:rPr>
        <w:t>)</w:t>
      </w:r>
    </w:p>
    <w:p>
      <w:pPr>
        <w:ind w:firstLine="39"/>
        <w:spacing w:before="93" w:line="2839" w:lineRule="exact"/>
        <w:rPr/>
      </w:pPr>
      <w:r>
        <w:rPr>
          <w:position w:val="-56"/>
        </w:rPr>
        <w:drawing>
          <wp:inline distT="0" distB="0" distL="0" distR="0">
            <wp:extent cx="2594124" cy="1803065"/>
            <wp:effectExtent l="0" t="0" r="0" b="0"/>
            <wp:docPr id="50" name="IM 50"/>
            <wp:cNvGraphicFramePr/>
            <a:graphic>
              <a:graphicData uri="http://schemas.openxmlformats.org/drawingml/2006/picture">
                <pic:pic>
                  <pic:nvPicPr>
                    <pic:cNvPr id="50" name="IM 5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4124" cy="18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78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图1-6</w:t>
      </w:r>
      <w:r>
        <w:rPr>
          <w:sz w:val="18"/>
          <w:szCs w:val="18"/>
          <w:color w:val="231F20"/>
          <w:spacing w:val="10"/>
          <w:w w:val="101"/>
        </w:rPr>
        <w:t xml:space="preserve">    </w:t>
      </w:r>
      <w:r>
        <w:rPr>
          <w:sz w:val="18"/>
          <w:szCs w:val="18"/>
          <w:color w:val="231F20"/>
        </w:rPr>
        <w:t>主要发达经济体股指走势</w:t>
      </w:r>
    </w:p>
    <w:p>
      <w:pPr>
        <w:pStyle w:val="BodyText"/>
        <w:ind w:left="1067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（数据来源：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Wind</w:t>
      </w:r>
      <w:r>
        <w:rPr>
          <w:sz w:val="18"/>
          <w:szCs w:val="18"/>
          <w:color w:val="231F20"/>
        </w:rPr>
        <w:t>数据）</w:t>
      </w:r>
    </w:p>
    <w:p>
      <w:pPr>
        <w:pStyle w:val="BodyText"/>
        <w:ind w:right="356" w:firstLine="429"/>
        <w:spacing w:before="297" w:line="254" w:lineRule="auto"/>
        <w:jc w:val="both"/>
        <w:rPr/>
      </w:pPr>
      <w:r>
        <w:rPr>
          <w:color w:val="231F20"/>
          <w:spacing w:val="3"/>
        </w:rPr>
        <w:t>大宗商品价格涨跌互现。  全球能源供需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9"/>
        </w:rPr>
        <w:t>恢复平衡，布伦特原油期货和纽约轻质原油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期货价格波动幅度收窄，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年全年分别下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跌</w:t>
      </w:r>
      <w:r>
        <w:rPr>
          <w:rFonts w:ascii="Times New Roman" w:hAnsi="Times New Roman" w:eastAsia="Times New Roman" w:cs="Times New Roman"/>
          <w:color w:val="231F20"/>
          <w:spacing w:val="5"/>
        </w:rPr>
        <w:t>2.9%</w:t>
      </w:r>
      <w:r>
        <w:rPr>
          <w:color w:val="231F20"/>
          <w:spacing w:val="5"/>
        </w:rPr>
        <w:t>和上涨</w:t>
      </w:r>
      <w:r>
        <w:rPr>
          <w:rFonts w:ascii="Times New Roman" w:hAnsi="Times New Roman" w:eastAsia="Times New Roman" w:cs="Times New Roman"/>
          <w:color w:val="231F20"/>
          <w:spacing w:val="5"/>
        </w:rPr>
        <w:t>0.8%</w:t>
      </w:r>
      <w:r>
        <w:rPr>
          <w:color w:val="231F20"/>
          <w:spacing w:val="5"/>
        </w:rPr>
        <w:t>。因全球主要粮食生产国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超预期丰产、乌克兰粮食出口增加缓解供应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压力，芝加哥期货交易所玉米、小麦期货价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格全年分别下跌</w:t>
      </w:r>
      <w:r>
        <w:rPr>
          <w:rFonts w:ascii="Times New Roman" w:hAnsi="Times New Roman" w:eastAsia="Times New Roman" w:cs="Times New Roman"/>
          <w:color w:val="231F20"/>
          <w:spacing w:val="1"/>
        </w:rPr>
        <w:t>2.6%</w:t>
      </w:r>
      <w:r>
        <w:rPr>
          <w:color w:val="231F20"/>
          <w:spacing w:val="1"/>
        </w:rPr>
        <w:t>和</w:t>
      </w:r>
      <w:r>
        <w:rPr>
          <w:rFonts w:ascii="Times New Roman" w:hAnsi="Times New Roman" w:eastAsia="Times New Roman" w:cs="Times New Roman"/>
          <w:color w:val="231F20"/>
          <w:spacing w:val="1"/>
        </w:rPr>
        <w:t>12.3%</w:t>
      </w:r>
      <w:r>
        <w:rPr>
          <w:color w:val="231F20"/>
          <w:spacing w:val="1"/>
        </w:rPr>
        <w:t>。受</w:t>
      </w:r>
      <w:r>
        <w:rPr>
          <w:color w:val="231F20"/>
        </w:rPr>
        <w:t>地缘政治冲 </w:t>
      </w:r>
      <w:r>
        <w:rPr>
          <w:color w:val="231F20"/>
          <w:spacing w:val="9"/>
        </w:rPr>
        <w:t>突影响，全球避险情绪升温，现货黄金价格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全年上涨</w:t>
      </w:r>
      <w:r>
        <w:rPr>
          <w:rFonts w:ascii="Times New Roman" w:hAnsi="Times New Roman" w:eastAsia="Times New Roman" w:cs="Times New Roman"/>
          <w:color w:val="231F20"/>
          <w:spacing w:val="1"/>
        </w:rPr>
        <w:t>26.6%</w:t>
      </w:r>
      <w:r>
        <w:rPr>
          <w:color w:val="231F20"/>
          <w:spacing w:val="1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1"/>
        </w:rPr>
        <w:t>1</w:t>
      </w:r>
      <w:r>
        <w:rPr>
          <w:color w:val="231F20"/>
          <w:spacing w:val="1"/>
        </w:rPr>
        <w:t>-</w:t>
      </w:r>
      <w:r>
        <w:rPr>
          <w:rFonts w:ascii="Times New Roman" w:hAnsi="Times New Roman" w:eastAsia="Times New Roman" w:cs="Times New Roman"/>
          <w:color w:val="231F20"/>
          <w:spacing w:val="1"/>
        </w:rPr>
        <w:t>7</w:t>
      </w:r>
      <w:r>
        <w:rPr>
          <w:color w:val="231F20"/>
          <w:spacing w:val="1"/>
        </w:rPr>
        <w:t>）。</w:t>
      </w:r>
    </w:p>
    <w:p>
      <w:pPr>
        <w:pStyle w:val="BodyText"/>
        <w:ind w:left="224" w:right="586"/>
        <w:spacing w:before="223" w:line="161" w:lineRule="auto"/>
        <w:rPr>
          <w:rFonts w:ascii="DejaVu Sans" w:hAnsi="DejaVu Sans" w:eastAsia="DejaVu Sans" w:cs="DejaVu Sans"/>
          <w:sz w:val="13"/>
          <w:szCs w:val="13"/>
        </w:rPr>
      </w:pPr>
      <w:r>
        <w:rPr>
          <w:rFonts w:ascii="DejaVu Sans" w:hAnsi="DejaVu Sans" w:eastAsia="DejaVu Sans" w:cs="DejaVu Sans"/>
          <w:sz w:val="13"/>
          <w:szCs w:val="13"/>
          <w:color w:val="7A2E37"/>
          <w:spacing w:val="11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7A2E37"/>
          <w:spacing w:val="11"/>
        </w:rPr>
        <w:t xml:space="preserve"> </w:t>
      </w:r>
      <w:r>
        <w:rPr>
          <w:sz w:val="13"/>
          <w:szCs w:val="13"/>
          <w:color w:val="231F20"/>
          <w:spacing w:val="11"/>
        </w:rPr>
        <w:t>布伦特原油期货</w:t>
      </w:r>
      <w:r>
        <w:rPr>
          <w:sz w:val="13"/>
          <w:szCs w:val="13"/>
          <w:color w:val="231F20"/>
          <w:spacing w:val="11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1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1"/>
        </w:rPr>
        <w:t xml:space="preserve"> </w:t>
      </w:r>
      <w:r>
        <w:rPr>
          <w:sz w:val="13"/>
          <w:szCs w:val="13"/>
          <w:color w:val="231F20"/>
          <w:spacing w:val="11"/>
        </w:rPr>
        <w:t>左轴</w:t>
      </w:r>
      <w:r>
        <w:rPr>
          <w:sz w:val="13"/>
          <w:szCs w:val="13"/>
          <w:color w:val="231F20"/>
          <w:spacing w:val="33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E20"/>
          <w:spacing w:val="11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E20"/>
          <w:spacing w:val="11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354A65"/>
          <w:spacing w:val="11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354A65"/>
          <w:spacing w:val="-7"/>
        </w:rPr>
        <w:t xml:space="preserve"> </w:t>
      </w:r>
      <w:r>
        <w:rPr>
          <w:sz w:val="13"/>
          <w:szCs w:val="13"/>
          <w:color w:val="231F20"/>
          <w:spacing w:val="11"/>
        </w:rPr>
        <w:t>纽约轻质原油期货</w:t>
      </w:r>
      <w:r>
        <w:rPr>
          <w:sz w:val="13"/>
          <w:szCs w:val="13"/>
          <w:color w:val="231F20"/>
          <w:spacing w:val="11"/>
        </w:rPr>
        <w:t xml:space="preserve">  </w:t>
      </w:r>
      <w:r>
        <w:rPr>
          <w:sz w:val="13"/>
          <w:szCs w:val="13"/>
          <w:color w:val="231F20"/>
          <w:spacing w:val="11"/>
        </w:rPr>
        <w:t>(左轴</w:t>
      </w:r>
      <w:r>
        <w:rPr>
          <w:sz w:val="13"/>
          <w:szCs w:val="13"/>
          <w:color w:val="231F20"/>
          <w:spacing w:val="13"/>
          <w:w w:val="103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1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686F3C"/>
          <w:spacing w:val="11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686F3C"/>
          <w:spacing w:val="-4"/>
        </w:rPr>
        <w:t xml:space="preserve"> </w:t>
      </w:r>
      <w:r>
        <w:rPr>
          <w:sz w:val="13"/>
          <w:szCs w:val="13"/>
          <w:color w:val="231F20"/>
          <w:spacing w:val="11"/>
        </w:rPr>
        <w:t>伦敦金现货</w:t>
      </w:r>
      <w:r>
        <w:rPr>
          <w:sz w:val="13"/>
          <w:szCs w:val="13"/>
          <w:color w:val="231F20"/>
          <w:spacing w:val="11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1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1"/>
        </w:rPr>
        <w:t xml:space="preserve"> </w:t>
      </w:r>
      <w:r>
        <w:rPr>
          <w:sz w:val="13"/>
          <w:szCs w:val="13"/>
          <w:color w:val="231F20"/>
          <w:spacing w:val="11"/>
        </w:rPr>
        <w:t>右轴</w:t>
      </w:r>
      <w:r>
        <w:rPr>
          <w:sz w:val="13"/>
          <w:szCs w:val="13"/>
          <w:color w:val="231F20"/>
          <w:spacing w:val="12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1"/>
        </w:rPr>
        <w:t>)</w:t>
      </w:r>
    </w:p>
    <w:p>
      <w:pPr>
        <w:ind w:firstLine="30"/>
        <w:spacing w:before="89" w:line="2829" w:lineRule="exact"/>
        <w:rPr/>
      </w:pPr>
      <w:r>
        <w:rPr>
          <w:position w:val="-56"/>
        </w:rPr>
        <w:drawing>
          <wp:inline distT="0" distB="0" distL="0" distR="0">
            <wp:extent cx="2605512" cy="1796173"/>
            <wp:effectExtent l="0" t="0" r="0" b="0"/>
            <wp:docPr id="52" name="IM 52"/>
            <wp:cNvGraphicFramePr/>
            <a:graphic>
              <a:graphicData uri="http://schemas.openxmlformats.org/drawingml/2006/picture">
                <pic:pic>
                  <pic:nvPicPr>
                    <pic:cNvPr id="52" name="IM 52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5512" cy="179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78"/>
        <w:spacing w:before="154" w:line="212" w:lineRule="exact"/>
        <w:rPr>
          <w:sz w:val="18"/>
          <w:szCs w:val="18"/>
        </w:rPr>
      </w:pPr>
      <w:r>
        <w:rPr>
          <w:sz w:val="18"/>
          <w:szCs w:val="18"/>
          <w:color w:val="231F20"/>
          <w:position w:val="-1"/>
        </w:rPr>
        <w:t>图1-7</w:t>
      </w:r>
      <w:r>
        <w:rPr>
          <w:sz w:val="18"/>
          <w:szCs w:val="18"/>
          <w:color w:val="231F20"/>
          <w:spacing w:val="10"/>
          <w:w w:val="102"/>
          <w:position w:val="-1"/>
        </w:rPr>
        <w:t xml:space="preserve">    </w:t>
      </w:r>
      <w:r>
        <w:rPr>
          <w:sz w:val="18"/>
          <w:szCs w:val="18"/>
          <w:color w:val="231F20"/>
          <w:position w:val="-1"/>
        </w:rPr>
        <w:t>国际黄金、原油价格走势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14"/>
        <w:spacing w:before="278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（三）风险与挑战</w:t>
      </w:r>
    </w:p>
    <w:p>
      <w:pPr>
        <w:pStyle w:val="BodyText"/>
        <w:ind w:firstLine="428"/>
        <w:spacing w:before="249" w:line="249" w:lineRule="auto"/>
        <w:rPr/>
      </w:pPr>
      <w:r>
        <w:rPr>
          <w:color w:val="231F20"/>
          <w:spacing w:val="1"/>
        </w:rPr>
        <w:t>全球经济复苏进程偏弱。  </w:t>
      </w:r>
      <w:r>
        <w:rPr>
          <w:rFonts w:ascii="Times New Roman" w:hAnsi="Times New Roman" w:eastAsia="Times New Roman" w:cs="Times New Roman"/>
          <w:color w:val="231F20"/>
          <w:spacing w:val="1"/>
        </w:rPr>
        <w:t>2025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10</w:t>
      </w:r>
      <w:r>
        <w:rPr>
          <w:color w:val="231F20"/>
          <w:spacing w:val="1"/>
        </w:rPr>
        <w:t>月，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8"/>
        </w:rPr>
        <w:t>国际货币基金组织（</w:t>
      </w:r>
      <w:r>
        <w:rPr>
          <w:rFonts w:ascii="Times New Roman" w:hAnsi="Times New Roman" w:eastAsia="Times New Roman" w:cs="Times New Roman"/>
          <w:color w:val="231F20"/>
        </w:rPr>
        <w:t>IMF</w:t>
      </w:r>
      <w:r>
        <w:rPr>
          <w:color w:val="231F20"/>
          <w:spacing w:val="8"/>
        </w:rPr>
        <w:t>）预测， </w:t>
      </w:r>
      <w:r>
        <w:rPr>
          <w:rFonts w:ascii="Times New Roman" w:hAnsi="Times New Roman" w:eastAsia="Times New Roman" w:cs="Times New Roman"/>
          <w:color w:val="231F20"/>
          <w:spacing w:val="8"/>
        </w:rPr>
        <w:t>2025</w:t>
      </w:r>
      <w:r>
        <w:rPr>
          <w:color w:val="231F20"/>
          <w:spacing w:val="8"/>
        </w:rPr>
        <w:t>年全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3"/>
        </w:rPr>
        <w:t>球经济增速为</w:t>
      </w:r>
      <w:r>
        <w:rPr>
          <w:rFonts w:ascii="Times New Roman" w:hAnsi="Times New Roman" w:eastAsia="Times New Roman" w:cs="Times New Roman"/>
          <w:color w:val="231F20"/>
          <w:spacing w:val="13"/>
        </w:rPr>
        <w:t>3.2%</w:t>
      </w:r>
      <w:r>
        <w:rPr>
          <w:color w:val="231F20"/>
          <w:spacing w:val="13"/>
        </w:rPr>
        <w:t>，低于</w:t>
      </w:r>
      <w:r>
        <w:rPr>
          <w:rFonts w:ascii="Times New Roman" w:hAnsi="Times New Roman" w:eastAsia="Times New Roman" w:cs="Times New Roman"/>
          <w:color w:val="231F20"/>
          <w:spacing w:val="13"/>
        </w:rPr>
        <w:t>2024</w:t>
      </w:r>
      <w:r>
        <w:rPr>
          <w:color w:val="231F20"/>
          <w:spacing w:val="13"/>
        </w:rPr>
        <w:t>年的</w:t>
      </w:r>
      <w:r>
        <w:rPr>
          <w:rFonts w:ascii="Times New Roman" w:hAnsi="Times New Roman" w:eastAsia="Times New Roman" w:cs="Times New Roman"/>
          <w:color w:val="231F20"/>
          <w:spacing w:val="12"/>
        </w:rPr>
        <w:t>3.3%</w:t>
      </w:r>
      <w:r>
        <w:rPr>
          <w:rFonts w:ascii="Times New Roman" w:hAnsi="Times New Roman" w:eastAsia="Times New Roman" w:cs="Times New Roman"/>
          <w:color w:val="231F20"/>
          <w:spacing w:val="-12"/>
        </w:rPr>
        <w:t xml:space="preserve"> </w:t>
      </w:r>
      <w:r>
        <w:rPr>
          <w:color w:val="231F20"/>
          <w:spacing w:val="12"/>
        </w:rPr>
        <w:t>。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其中，发达经济体增速预计为</w:t>
      </w:r>
      <w:r>
        <w:rPr>
          <w:rFonts w:ascii="Times New Roman" w:hAnsi="Times New Roman" w:eastAsia="Times New Roman" w:cs="Times New Roman"/>
          <w:color w:val="231F20"/>
          <w:spacing w:val="7"/>
        </w:rPr>
        <w:t>1.6%</w:t>
      </w:r>
      <w:r>
        <w:rPr>
          <w:color w:val="231F20"/>
          <w:spacing w:val="7"/>
        </w:rPr>
        <w:t>，新兴市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6"/>
        </w:rPr>
        <w:t>场和发展中经济体增速预计为</w:t>
      </w:r>
      <w:r>
        <w:rPr>
          <w:rFonts w:ascii="Times New Roman" w:hAnsi="Times New Roman" w:eastAsia="Times New Roman" w:cs="Times New Roman"/>
          <w:color w:val="231F20"/>
          <w:spacing w:val="6"/>
        </w:rPr>
        <w:t>4.2%</w:t>
      </w:r>
      <w:r>
        <w:rPr>
          <w:color w:val="231F20"/>
          <w:spacing w:val="6"/>
        </w:rPr>
        <w:t>，均不及</w:t>
      </w:r>
      <w:r>
        <w:rPr>
          <w:color w:val="231F20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年水平。贸易政策不确定性成为扰动全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球经济复苏的主要因素。</w:t>
      </w:r>
    </w:p>
    <w:p>
      <w:pPr>
        <w:pStyle w:val="BodyText"/>
        <w:ind w:firstLine="428"/>
        <w:spacing w:before="4" w:line="249" w:lineRule="auto"/>
        <w:jc w:val="both"/>
        <w:rPr/>
      </w:pPr>
      <w:r>
        <w:rPr>
          <w:color w:val="231F20"/>
          <w:spacing w:val="3"/>
        </w:rPr>
        <w:t>全球贸易增长压力较大。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年全球贸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7"/>
        </w:rPr>
        <w:t>易额较上年增长</w:t>
      </w:r>
      <w:r>
        <w:rPr>
          <w:rFonts w:ascii="Times New Roman" w:hAnsi="Times New Roman" w:eastAsia="Times New Roman" w:cs="Times New Roman"/>
          <w:color w:val="231F20"/>
          <w:spacing w:val="7"/>
        </w:rPr>
        <w:t>3.5%</w:t>
      </w:r>
      <w:r>
        <w:rPr>
          <w:color w:val="231F20"/>
          <w:spacing w:val="7"/>
        </w:rPr>
        <w:t>，但继续保持增长势头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难度较大。</w:t>
      </w:r>
      <w:r>
        <w:rPr>
          <w:rFonts w:ascii="Times New Roman" w:hAnsi="Times New Roman" w:eastAsia="Times New Roman" w:cs="Times New Roman"/>
          <w:color w:val="231F20"/>
          <w:spacing w:val="3"/>
        </w:rPr>
        <w:t>2025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4</w:t>
      </w:r>
      <w:r>
        <w:rPr>
          <w:color w:val="231F20"/>
          <w:spacing w:val="3"/>
        </w:rPr>
        <w:t>月，联合国贸易和发展会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议发布声明指出，关税上升可能会削弱投资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和贸易流动。</w:t>
      </w:r>
      <w:r>
        <w:rPr>
          <w:rFonts w:ascii="Times New Roman" w:hAnsi="Times New Roman" w:eastAsia="Times New Roman" w:cs="Times New Roman"/>
          <w:color w:val="231F20"/>
        </w:rPr>
        <w:t>IMF</w:t>
      </w:r>
      <w:r>
        <w:rPr>
          <w:color w:val="231F20"/>
          <w:spacing w:val="1"/>
        </w:rPr>
        <w:t>预测，全球贸易额在</w:t>
      </w:r>
      <w:r>
        <w:rPr>
          <w:rFonts w:ascii="Times New Roman" w:hAnsi="Times New Roman" w:eastAsia="Times New Roman" w:cs="Times New Roman"/>
          <w:color w:val="231F20"/>
          <w:spacing w:val="1"/>
        </w:rPr>
        <w:t>2025</w:t>
      </w:r>
      <w:r>
        <w:rPr>
          <w:color w:val="231F20"/>
          <w:spacing w:val="1"/>
        </w:rPr>
        <w:t>—</w:t>
      </w:r>
      <w:r>
        <w:rPr>
          <w:color w:val="231F20"/>
          <w:spacing w:val="1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2026</w:t>
      </w:r>
      <w:r>
        <w:rPr>
          <w:color w:val="231F20"/>
          <w:spacing w:val="-1"/>
        </w:rPr>
        <w:t>年平均增长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2.9%</w:t>
      </w:r>
      <w:r>
        <w:rPr>
          <w:color w:val="231F20"/>
          <w:spacing w:val="-1"/>
        </w:rPr>
        <w:t>，远低于</w:t>
      </w:r>
      <w:r>
        <w:rPr>
          <w:rFonts w:ascii="Times New Roman" w:hAnsi="Times New Roman" w:eastAsia="Times New Roman" w:cs="Times New Roman"/>
          <w:color w:val="231F20"/>
          <w:spacing w:val="-1"/>
        </w:rPr>
        <w:t>2024</w:t>
      </w:r>
      <w:r>
        <w:rPr>
          <w:color w:val="231F20"/>
          <w:spacing w:val="-1"/>
        </w:rPr>
        <w:t>年</w:t>
      </w:r>
      <w:r>
        <w:rPr>
          <w:color w:val="231F20"/>
          <w:spacing w:val="-2"/>
        </w:rPr>
        <w:t>水平。</w:t>
      </w:r>
    </w:p>
    <w:p>
      <w:pPr>
        <w:pStyle w:val="BodyText"/>
        <w:ind w:firstLine="431"/>
        <w:spacing w:before="7" w:line="249" w:lineRule="auto"/>
        <w:jc w:val="both"/>
        <w:rPr/>
      </w:pPr>
      <w:r>
        <w:rPr>
          <w:color w:val="231F20"/>
          <w:spacing w:val="9"/>
        </w:rPr>
        <w:t>部分发达经济体通胀回落的持续性仍有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待观察。截至</w:t>
      </w:r>
      <w:r>
        <w:rPr>
          <w:rFonts w:ascii="Times New Roman" w:hAnsi="Times New Roman" w:eastAsia="Times New Roman" w:cs="Times New Roman"/>
          <w:color w:val="231F20"/>
          <w:spacing w:val="2"/>
        </w:rPr>
        <w:t>2024</w:t>
      </w:r>
      <w:r>
        <w:rPr>
          <w:color w:val="231F20"/>
          <w:spacing w:val="2"/>
        </w:rPr>
        <w:t>年末，美欧</w:t>
      </w:r>
      <w:r>
        <w:rPr>
          <w:rFonts w:ascii="Times New Roman" w:hAnsi="Times New Roman" w:eastAsia="Times New Roman" w:cs="Times New Roman"/>
          <w:color w:val="231F20"/>
        </w:rPr>
        <w:t>CPI</w:t>
      </w:r>
      <w:r>
        <w:rPr>
          <w:color w:val="231F20"/>
          <w:spacing w:val="2"/>
        </w:rPr>
        <w:t>已从</w:t>
      </w:r>
      <w:r>
        <w:rPr>
          <w:rFonts w:ascii="Times New Roman" w:hAnsi="Times New Roman" w:eastAsia="Times New Roman" w:cs="Times New Roman"/>
          <w:color w:val="231F20"/>
          <w:spacing w:val="2"/>
        </w:rPr>
        <w:t>2022</w:t>
      </w:r>
      <w:r>
        <w:rPr>
          <w:color w:val="231F20"/>
          <w:spacing w:val="2"/>
        </w:rPr>
        <w:t>年</w:t>
      </w:r>
      <w:r>
        <w:rPr>
          <w:color w:val="231F20"/>
          <w:spacing w:val="11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10%</w:t>
      </w:r>
      <w:r>
        <w:rPr>
          <w:color w:val="231F20"/>
          <w:spacing w:val="6"/>
        </w:rPr>
        <w:t>左右的高点降至</w:t>
      </w:r>
      <w:r>
        <w:rPr>
          <w:rFonts w:ascii="Times New Roman" w:hAnsi="Times New Roman" w:eastAsia="Times New Roman" w:cs="Times New Roman"/>
          <w:color w:val="231F20"/>
          <w:spacing w:val="6"/>
        </w:rPr>
        <w:t>3%</w:t>
      </w:r>
      <w:r>
        <w:rPr>
          <w:color w:val="231F20"/>
          <w:spacing w:val="6"/>
        </w:rPr>
        <w:t>以下，但物价涨幅能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"/>
        </w:rPr>
        <w:t>否回落至目标区间仍有待观察。   一是美国关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9"/>
        </w:rPr>
        <w:t>税政策直接带动进口商品价格上升，导致居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民生活成本和企业生产成本上升，加大物价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上涨压力。二是美欧工资增速仍然较快，服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务业通胀或较顽固，物价进一步下行面临内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部约束。</w:t>
      </w:r>
    </w:p>
    <w:p>
      <w:pPr>
        <w:pStyle w:val="BodyText"/>
        <w:ind w:firstLine="428"/>
        <w:spacing w:before="1" w:line="229" w:lineRule="auto"/>
        <w:jc w:val="both"/>
        <w:rPr>
          <w:rFonts w:ascii="Times New Roman" w:hAnsi="Times New Roman" w:eastAsia="Times New Roman" w:cs="Times New Roman"/>
        </w:rPr>
      </w:pPr>
      <w:r>
        <w:rPr>
          <w:color w:val="231F20"/>
          <w:spacing w:val="1"/>
        </w:rPr>
        <w:t>全球债务可持续性值得关注。   新冠疫情 </w:t>
      </w:r>
      <w:r>
        <w:rPr>
          <w:color w:val="231F20"/>
          <w:spacing w:val="9"/>
        </w:rPr>
        <w:t>后，主要经济体财政支出大幅增加，全球债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务水平达到历史高位。  </w:t>
      </w:r>
      <w:r>
        <w:rPr>
          <w:rFonts w:ascii="Times New Roman" w:hAnsi="Times New Roman" w:eastAsia="Times New Roman" w:cs="Times New Roman"/>
          <w:color w:val="231F20"/>
        </w:rPr>
        <w:t>IMF</w:t>
      </w:r>
      <w:r>
        <w:rPr>
          <w:color w:val="231F20"/>
          <w:spacing w:val="4"/>
        </w:rPr>
        <w:t>测算结果显示，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年末，全球公共债务规模超过</w:t>
      </w:r>
      <w:r>
        <w:rPr>
          <w:rFonts w:ascii="Times New Roman" w:hAnsi="Times New Roman" w:eastAsia="Times New Roman" w:cs="Times New Roman"/>
          <w:color w:val="231F20"/>
          <w:spacing w:val="3"/>
        </w:rPr>
        <w:t>100</w:t>
      </w:r>
      <w:r>
        <w:rPr>
          <w:color w:val="231F20"/>
          <w:spacing w:val="3"/>
        </w:rPr>
        <w:t>万</w:t>
      </w:r>
      <w:r>
        <w:rPr>
          <w:color w:val="231F20"/>
          <w:spacing w:val="2"/>
        </w:rPr>
        <w:t>亿美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>元，占全球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10"/>
        </w:rPr>
        <w:t>的比重约为</w:t>
      </w:r>
      <w:r>
        <w:rPr>
          <w:rFonts w:ascii="Times New Roman" w:hAnsi="Times New Roman" w:eastAsia="Times New Roman" w:cs="Times New Roman"/>
          <w:color w:val="231F20"/>
          <w:spacing w:val="10"/>
        </w:rPr>
        <w:t>93%</w:t>
      </w:r>
      <w:r>
        <w:rPr>
          <w:color w:val="231F20"/>
          <w:spacing w:val="10"/>
        </w:rPr>
        <w:t>，预计</w:t>
      </w:r>
      <w:r>
        <w:rPr>
          <w:rFonts w:ascii="Times New Roman" w:hAnsi="Times New Roman" w:eastAsia="Times New Roman" w:cs="Times New Roman"/>
          <w:color w:val="231F20"/>
          <w:spacing w:val="10"/>
        </w:rPr>
        <w:t>2030</w:t>
      </w:r>
    </w:p>
    <w:p>
      <w:pPr>
        <w:spacing w:line="229" w:lineRule="auto"/>
        <w:sectPr>
          <w:type w:val="continuous"/>
          <w:pgSz w:w="11906" w:h="16158"/>
          <w:pgMar w:top="1384" w:right="1415" w:bottom="2070" w:left="1702" w:header="1061" w:footer="1701" w:gutter="0"/>
          <w:cols w:equalWidth="0" w:num="2">
            <w:col w:w="4523" w:space="100"/>
            <w:col w:w="4165" w:space="0"/>
          </w:cols>
        </w:sectPr>
        <w:rPr>
          <w:rFonts w:ascii="Times New Roman" w:hAnsi="Times New Roman" w:eastAsia="Times New Roman" w:cs="Times New Roman"/>
        </w:rPr>
      </w:pPr>
    </w:p>
    <w:p>
      <w:pPr>
        <w:spacing w:before="166"/>
        <w:rPr/>
      </w:pPr>
      <w:r/>
    </w:p>
    <w:p>
      <w:pPr>
        <w:sectPr>
          <w:headerReference w:type="default" r:id="rId33"/>
          <w:footerReference w:type="default" r:id="rId6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6" w:right="358" w:hanging="1"/>
        <w:spacing w:before="47" w:line="249" w:lineRule="auto"/>
        <w:jc w:val="both"/>
        <w:rPr/>
      </w:pPr>
      <w:bookmarkStart w:name="bookmark37" w:id="5"/>
      <w:bookmarkEnd w:id="5"/>
      <w:r>
        <w:rPr>
          <w:color w:val="231F20"/>
          <w:spacing w:val="7"/>
        </w:rPr>
        <w:t>境下，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7"/>
        </w:rPr>
        <w:t>一些发展中经济体的债务风险已经暴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露，发达经济体也面临大规模财政赤字带来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-7"/>
        </w:rPr>
        <w:t>的挑战。</w:t>
      </w:r>
    </w:p>
    <w:p>
      <w:pPr>
        <w:pStyle w:val="BodyText"/>
        <w:ind w:left="5" w:right="358" w:firstLine="426"/>
        <w:spacing w:before="17" w:line="252" w:lineRule="auto"/>
        <w:jc w:val="both"/>
        <w:rPr/>
      </w:pPr>
      <w:r>
        <w:rPr>
          <w:color w:val="231F20"/>
          <w:spacing w:val="11"/>
        </w:rPr>
        <w:t>全球金融市场波动可能加剧。</w:t>
      </w:r>
      <w:r>
        <w:rPr>
          <w:color w:val="231F20"/>
          <w:spacing w:val="18"/>
          <w:w w:val="101"/>
        </w:rPr>
        <w:t xml:space="preserve">   </w:t>
      </w:r>
      <w:r>
        <w:rPr>
          <w:color w:val="231F20"/>
          <w:spacing w:val="11"/>
        </w:rPr>
        <w:t>随着美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联储、欧央行等主要经济体央行先后启动降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息，全球金融市场流动性环境趋于改善，新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兴市场经济体面临的货币贬值压力、资本外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流压力和美元债务负担将有所缓解。但同时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也要看到，美联储未来降息路径存在不确定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性，叠加地缘政治冲突、逆全球化因素等影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响，投资者情绪可能出现较大波动，金融市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场动荡增加。</w:t>
      </w:r>
      <w:r>
        <w:rPr>
          <w:rFonts w:ascii="Times New Roman" w:hAnsi="Times New Roman" w:eastAsia="Times New Roman" w:cs="Times New Roman"/>
          <w:color w:val="231F20"/>
          <w:spacing w:val="3"/>
        </w:rPr>
        <w:t>2025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4</w:t>
      </w:r>
      <w:r>
        <w:rPr>
          <w:color w:val="231F20"/>
          <w:spacing w:val="3"/>
        </w:rPr>
        <w:t>月初，美国推出关</w:t>
      </w:r>
      <w:r>
        <w:rPr>
          <w:color w:val="231F20"/>
          <w:spacing w:val="2"/>
        </w:rPr>
        <w:t>税政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策后，市场恐慌情绪明显加剧，金融市场大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幅震荡。</w:t>
      </w:r>
    </w:p>
    <w:p>
      <w:pPr>
        <w:pStyle w:val="BodyText"/>
        <w:ind w:left="481"/>
        <w:spacing w:before="400" w:line="173" w:lineRule="auto"/>
        <w:outlineLvl w:val="0"/>
        <w:rPr>
          <w:sz w:val="28"/>
          <w:szCs w:val="28"/>
        </w:rPr>
      </w:pPr>
      <w:bookmarkStart w:name="bookmark2" w:id="6"/>
      <w:bookmarkEnd w:id="6"/>
      <w:r>
        <w:rPr>
          <w:sz w:val="28"/>
          <w:szCs w:val="28"/>
          <w:color w:val="174B8B"/>
          <w:spacing w:val="-2"/>
        </w:rPr>
        <w:t>二、国内宏观经济运行</w:t>
      </w:r>
    </w:p>
    <w:p>
      <w:pPr>
        <w:pStyle w:val="BodyText"/>
        <w:ind w:left="5" w:right="357" w:firstLine="424"/>
        <w:spacing w:before="432" w:line="254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年，面对外部压力加大、内部困难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-2"/>
        </w:rPr>
        <w:t>增多的复杂严峻形势，我国坚持稳中求进工作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总基调，完整准确全面贯彻新发展理念，加快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构建新发展格局，全面深化改革开放，加大宏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观调控力度。经济运行总体平稳、稳中有进，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高质量发展扎实推进，新质生产力稳步发展，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重点领域风险化解有序有效，民生保障扎实</w:t>
      </w:r>
      <w:r>
        <w:rPr>
          <w:color w:val="231F20"/>
        </w:rPr>
        <w:t xml:space="preserve"> </w:t>
      </w:r>
      <w:r>
        <w:rPr>
          <w:color w:val="231F20"/>
          <w:spacing w:val="-11"/>
        </w:rPr>
        <w:t>有力。</w:t>
      </w:r>
    </w:p>
    <w:p>
      <w:pPr>
        <w:spacing w:line="17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" w:right="8" w:firstLine="407"/>
        <w:spacing w:before="275" w:line="237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9"/>
        </w:rPr>
        <w:t>（一）经济运行总体平稳，高质量</w:t>
      </w:r>
      <w:r>
        <w:rPr>
          <w:sz w:val="24"/>
          <w:szCs w:val="24"/>
          <w:color w:val="231F20"/>
          <w:spacing w:val="4"/>
        </w:rPr>
        <w:t xml:space="preserve"> </w:t>
      </w:r>
      <w:r>
        <w:rPr>
          <w:sz w:val="24"/>
          <w:szCs w:val="24"/>
          <w:color w:val="231F20"/>
          <w:spacing w:val="-2"/>
        </w:rPr>
        <w:t>发展扎实推进</w:t>
      </w:r>
    </w:p>
    <w:p>
      <w:pPr>
        <w:pStyle w:val="BodyText"/>
        <w:ind w:firstLine="424"/>
        <w:spacing w:before="107" w:line="249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7"/>
        </w:rPr>
        <w:t>2024</w:t>
      </w:r>
      <w:r>
        <w:rPr>
          <w:color w:val="231F20"/>
          <w:spacing w:val="7"/>
        </w:rPr>
        <w:t>年，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7"/>
        </w:rPr>
        <w:t>我国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7"/>
        </w:rPr>
        <w:t>为</w:t>
      </w:r>
      <w:r>
        <w:rPr>
          <w:rFonts w:ascii="Times New Roman" w:hAnsi="Times New Roman" w:eastAsia="Times New Roman" w:cs="Times New Roman"/>
          <w:color w:val="231F20"/>
          <w:spacing w:val="7"/>
        </w:rPr>
        <w:t>134.91</w:t>
      </w:r>
      <w:r>
        <w:rPr>
          <w:color w:val="231F20"/>
          <w:spacing w:val="7"/>
        </w:rPr>
        <w:t>万亿元，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7"/>
        </w:rPr>
        <w:t>按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可比价格计算，同比增长</w:t>
      </w:r>
      <w:r>
        <w:rPr>
          <w:rFonts w:ascii="Times New Roman" w:hAnsi="Times New Roman" w:eastAsia="Times New Roman" w:cs="Times New Roman"/>
          <w:color w:val="231F20"/>
          <w:spacing w:val="6"/>
        </w:rPr>
        <w:t>5.0%</w:t>
      </w:r>
      <w:r>
        <w:rPr>
          <w:color w:val="231F20"/>
          <w:spacing w:val="6"/>
        </w:rPr>
        <w:t>，各季度同比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  <w:spacing w:val="1"/>
        </w:rPr>
        <w:t>增速分别为</w:t>
      </w:r>
      <w:r>
        <w:rPr>
          <w:rFonts w:ascii="Times New Roman" w:hAnsi="Times New Roman" w:eastAsia="Times New Roman" w:cs="Times New Roman"/>
          <w:color w:val="231F20"/>
          <w:spacing w:val="1"/>
        </w:rPr>
        <w:t>5.3%</w:t>
      </w:r>
      <w:r>
        <w:rPr>
          <w:rFonts w:ascii="Times New Roman" w:hAnsi="Times New Roman" w:eastAsia="Times New Roman" w:cs="Times New Roman"/>
          <w:color w:val="231F20"/>
          <w:spacing w:val="-23"/>
        </w:rPr>
        <w:t xml:space="preserve"> </w:t>
      </w:r>
      <w:r>
        <w:rPr>
          <w:color w:val="231F20"/>
          <w:spacing w:val="1"/>
        </w:rPr>
        <w:t>、</w:t>
      </w:r>
      <w:r>
        <w:rPr>
          <w:rFonts w:ascii="Times New Roman" w:hAnsi="Times New Roman" w:eastAsia="Times New Roman" w:cs="Times New Roman"/>
          <w:color w:val="231F20"/>
          <w:spacing w:val="1"/>
        </w:rPr>
        <w:t>4.7%</w:t>
      </w:r>
      <w:r>
        <w:rPr>
          <w:rFonts w:ascii="Times New Roman" w:hAnsi="Times New Roman" w:eastAsia="Times New Roman" w:cs="Times New Roman"/>
          <w:color w:val="231F20"/>
          <w:spacing w:val="-23"/>
        </w:rPr>
        <w:t xml:space="preserve"> </w:t>
      </w:r>
      <w:r>
        <w:rPr>
          <w:color w:val="231F20"/>
          <w:spacing w:val="1"/>
        </w:rPr>
        <w:t>、</w:t>
      </w:r>
      <w:r>
        <w:rPr>
          <w:rFonts w:ascii="Times New Roman" w:hAnsi="Times New Roman" w:eastAsia="Times New Roman" w:cs="Times New Roman"/>
          <w:color w:val="231F20"/>
          <w:spacing w:val="1"/>
        </w:rPr>
        <w:t>4.6%</w:t>
      </w:r>
      <w:r>
        <w:rPr>
          <w:color w:val="231F20"/>
          <w:spacing w:val="1"/>
        </w:rPr>
        <w:t>和</w:t>
      </w:r>
      <w:r>
        <w:rPr>
          <w:rFonts w:ascii="Times New Roman" w:hAnsi="Times New Roman" w:eastAsia="Times New Roman" w:cs="Times New Roman"/>
          <w:color w:val="231F20"/>
          <w:spacing w:val="1"/>
        </w:rPr>
        <w:t>5.</w:t>
      </w:r>
      <w:r>
        <w:rPr>
          <w:rFonts w:ascii="Times New Roman" w:hAnsi="Times New Roman" w:eastAsia="Times New Roman" w:cs="Times New Roman"/>
          <w:color w:val="231F20"/>
        </w:rPr>
        <w:t>4%</w:t>
      </w:r>
      <w:r>
        <w:rPr>
          <w:color w:val="231F20"/>
        </w:rPr>
        <w:t>（见图 </w:t>
      </w:r>
      <w:r>
        <w:rPr>
          <w:rFonts w:ascii="Times New Roman" w:hAnsi="Times New Roman" w:eastAsia="Times New Roman" w:cs="Times New Roman"/>
          <w:color w:val="231F20"/>
          <w:spacing w:val="6"/>
        </w:rPr>
        <w:t>1</w:t>
      </w:r>
      <w:r>
        <w:rPr>
          <w:color w:val="231F20"/>
          <w:spacing w:val="6"/>
        </w:rPr>
        <w:t>-</w:t>
      </w:r>
      <w:r>
        <w:rPr>
          <w:rFonts w:ascii="Times New Roman" w:hAnsi="Times New Roman" w:eastAsia="Times New Roman" w:cs="Times New Roman"/>
          <w:color w:val="231F20"/>
          <w:spacing w:val="6"/>
        </w:rPr>
        <w:t>8</w:t>
      </w:r>
      <w:r>
        <w:rPr>
          <w:color w:val="231F20"/>
          <w:spacing w:val="6"/>
        </w:rPr>
        <w:t>）。分产业看，第一产业增加值</w:t>
      </w:r>
      <w:r>
        <w:rPr>
          <w:rFonts w:ascii="Times New Roman" w:hAnsi="Times New Roman" w:eastAsia="Times New Roman" w:cs="Times New Roman"/>
          <w:color w:val="231F20"/>
          <w:spacing w:val="6"/>
        </w:rPr>
        <w:t>9.14</w:t>
      </w:r>
      <w:r>
        <w:rPr>
          <w:color w:val="231F20"/>
          <w:spacing w:val="6"/>
        </w:rPr>
        <w:t>万亿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4"/>
        </w:rPr>
        <w:t>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3.5%</w:t>
      </w:r>
      <w:r>
        <w:rPr>
          <w:color w:val="231F20"/>
          <w:spacing w:val="4"/>
        </w:rPr>
        <w:t>；第二产业增加值</w:t>
      </w:r>
      <w:r>
        <w:rPr>
          <w:rFonts w:ascii="Times New Roman" w:hAnsi="Times New Roman" w:eastAsia="Times New Roman" w:cs="Times New Roman"/>
          <w:color w:val="231F20"/>
          <w:spacing w:val="4"/>
        </w:rPr>
        <w:t>49.21</w:t>
      </w:r>
      <w:r>
        <w:rPr>
          <w:color w:val="231F20"/>
          <w:spacing w:val="4"/>
        </w:rPr>
        <w:t>万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亿元，同比增长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5.3%</w:t>
      </w:r>
      <w:r>
        <w:rPr>
          <w:color w:val="231F20"/>
          <w:spacing w:val="4"/>
        </w:rPr>
        <w:t>；第三产业增加值</w:t>
      </w:r>
      <w:r>
        <w:rPr>
          <w:rFonts w:ascii="Times New Roman" w:hAnsi="Times New Roman" w:eastAsia="Times New Roman" w:cs="Times New Roman"/>
          <w:color w:val="231F20"/>
          <w:spacing w:val="4"/>
        </w:rPr>
        <w:t>76.56</w:t>
      </w:r>
      <w:r>
        <w:rPr>
          <w:rFonts w:ascii="Times New Roman" w:hAnsi="Times New Roman" w:eastAsia="Times New Roman" w:cs="Times New Roman"/>
          <w:color w:val="231F20"/>
          <w:spacing w:val="3"/>
        </w:rPr>
        <w:t xml:space="preserve"> </w:t>
      </w:r>
      <w:r>
        <w:rPr>
          <w:color w:val="231F20"/>
          <w:spacing w:val="-1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5.0%</w:t>
      </w:r>
      <w:r>
        <w:rPr>
          <w:color w:val="231F20"/>
          <w:spacing w:val="-1"/>
        </w:rPr>
        <w:t>。</w:t>
      </w:r>
    </w:p>
    <w:p>
      <w:pPr>
        <w:pStyle w:val="BodyText"/>
        <w:ind w:firstLine="428"/>
        <w:spacing w:before="8" w:line="254" w:lineRule="auto"/>
        <w:jc w:val="both"/>
        <w:rPr/>
      </w:pPr>
      <w:r>
        <w:rPr>
          <w:color w:val="231F20"/>
          <w:spacing w:val="10"/>
        </w:rPr>
        <w:t>从产业增加值占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10"/>
        </w:rPr>
        <w:t>比重看，第一产业</w:t>
      </w:r>
      <w:r>
        <w:rPr>
          <w:color w:val="231F20"/>
          <w:spacing w:val="11"/>
          <w:w w:val="101"/>
        </w:rPr>
        <w:t xml:space="preserve"> </w:t>
      </w:r>
      <w:r>
        <w:rPr>
          <w:color w:val="231F20"/>
          <w:spacing w:val="4"/>
        </w:rPr>
        <w:t>为</w:t>
      </w:r>
      <w:r>
        <w:rPr>
          <w:rFonts w:ascii="Times New Roman" w:hAnsi="Times New Roman" w:eastAsia="Times New Roman" w:cs="Times New Roman"/>
          <w:color w:val="231F20"/>
          <w:spacing w:val="4"/>
        </w:rPr>
        <w:t>6.8%</w:t>
      </w:r>
      <w:r>
        <w:rPr>
          <w:color w:val="231F20"/>
          <w:spacing w:val="4"/>
        </w:rPr>
        <w:t>，较上年下降</w:t>
      </w:r>
      <w:r>
        <w:rPr>
          <w:rFonts w:ascii="Times New Roman" w:hAnsi="Times New Roman" w:eastAsia="Times New Roman" w:cs="Times New Roman"/>
          <w:color w:val="231F20"/>
          <w:spacing w:val="4"/>
        </w:rPr>
        <w:t>0.1</w:t>
      </w:r>
      <w:r>
        <w:rPr>
          <w:color w:val="231F20"/>
          <w:spacing w:val="4"/>
        </w:rPr>
        <w:t>个百分点；第二产业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为</w:t>
      </w:r>
      <w:r>
        <w:rPr>
          <w:rFonts w:ascii="Times New Roman" w:hAnsi="Times New Roman" w:eastAsia="Times New Roman" w:cs="Times New Roman"/>
          <w:color w:val="231F20"/>
          <w:spacing w:val="-1"/>
        </w:rPr>
        <w:t>36.5%</w:t>
      </w:r>
      <w:r>
        <w:rPr>
          <w:color w:val="231F20"/>
          <w:spacing w:val="-1"/>
        </w:rPr>
        <w:t>，较上年下降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0.3</w:t>
      </w:r>
      <w:r>
        <w:rPr>
          <w:color w:val="231F20"/>
          <w:spacing w:val="-1"/>
        </w:rPr>
        <w:t>个百分点；第三产业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-1"/>
        </w:rPr>
        <w:t>为</w:t>
      </w:r>
      <w:r>
        <w:rPr>
          <w:rFonts w:ascii="Times New Roman" w:hAnsi="Times New Roman" w:eastAsia="Times New Roman" w:cs="Times New Roman"/>
          <w:color w:val="231F20"/>
          <w:spacing w:val="-1"/>
        </w:rPr>
        <w:t>56.7%</w:t>
      </w:r>
      <w:r>
        <w:rPr>
          <w:color w:val="231F20"/>
          <w:spacing w:val="-1"/>
        </w:rPr>
        <w:t>，较上年上升</w:t>
      </w:r>
      <w:r>
        <w:rPr>
          <w:rFonts w:ascii="Times New Roman" w:hAnsi="Times New Roman" w:eastAsia="Times New Roman" w:cs="Times New Roman"/>
          <w:color w:val="231F20"/>
          <w:spacing w:val="-1"/>
        </w:rPr>
        <w:t>0.4</w:t>
      </w:r>
      <w:r>
        <w:rPr>
          <w:color w:val="231F20"/>
          <w:spacing w:val="-1"/>
        </w:rPr>
        <w:t>个百分点。从对经济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9"/>
        </w:rPr>
        <w:t>增长的贡献率看，三次产业的贡献率分别约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为</w:t>
      </w:r>
      <w:r>
        <w:rPr>
          <w:rFonts w:ascii="Times New Roman" w:hAnsi="Times New Roman" w:eastAsia="Times New Roman" w:cs="Times New Roman"/>
          <w:color w:val="231F20"/>
          <w:spacing w:val="3"/>
        </w:rPr>
        <w:t>5.2%</w:t>
      </w:r>
      <w:r>
        <w:rPr>
          <w:rFonts w:ascii="Times New Roman" w:hAnsi="Times New Roman" w:eastAsia="Times New Roman" w:cs="Times New Roman"/>
          <w:color w:val="231F20"/>
          <w:spacing w:val="-19"/>
        </w:rPr>
        <w:t xml:space="preserve"> </w:t>
      </w:r>
      <w:r>
        <w:rPr>
          <w:color w:val="231F20"/>
          <w:spacing w:val="3"/>
        </w:rPr>
        <w:t>、</w:t>
      </w:r>
      <w:r>
        <w:rPr>
          <w:rFonts w:ascii="Times New Roman" w:hAnsi="Times New Roman" w:eastAsia="Times New Roman" w:cs="Times New Roman"/>
          <w:color w:val="231F20"/>
          <w:spacing w:val="3"/>
        </w:rPr>
        <w:t>38.6%</w:t>
      </w:r>
      <w:r>
        <w:rPr>
          <w:color w:val="231F20"/>
          <w:spacing w:val="3"/>
        </w:rPr>
        <w:t>和</w:t>
      </w:r>
      <w:r>
        <w:rPr>
          <w:rFonts w:ascii="Times New Roman" w:hAnsi="Times New Roman" w:eastAsia="Times New Roman" w:cs="Times New Roman"/>
          <w:color w:val="231F20"/>
          <w:spacing w:val="3"/>
        </w:rPr>
        <w:t>56.2%</w:t>
      </w:r>
      <w:r>
        <w:rPr>
          <w:color w:val="231F20"/>
          <w:spacing w:val="3"/>
        </w:rPr>
        <w:t>，其中第二产业的贡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献率较上年大幅上升</w:t>
      </w:r>
      <w:r>
        <w:rPr>
          <w:rFonts w:ascii="Times New Roman" w:hAnsi="Times New Roman" w:eastAsia="Times New Roman" w:cs="Times New Roman"/>
          <w:color w:val="231F20"/>
          <w:spacing w:val="-2"/>
        </w:rPr>
        <w:t>9.1</w:t>
      </w:r>
      <w:r>
        <w:rPr>
          <w:color w:val="231F20"/>
          <w:spacing w:val="-2"/>
        </w:rPr>
        <w:t>个百分点。</w:t>
      </w:r>
    </w:p>
    <w:p>
      <w:pPr>
        <w:ind w:firstLine="243"/>
        <w:spacing w:before="220" w:line="2305" w:lineRule="exact"/>
        <w:rPr/>
      </w:pPr>
      <w:r>
        <w:rPr>
          <w:position w:val="-46"/>
        </w:rPr>
        <w:drawing>
          <wp:inline distT="0" distB="0" distL="0" distR="0">
            <wp:extent cx="2329370" cy="1463921"/>
            <wp:effectExtent l="0" t="0" r="0" b="0"/>
            <wp:docPr id="56" name="IM 56"/>
            <wp:cNvGraphicFramePr/>
            <a:graphic>
              <a:graphicData uri="http://schemas.openxmlformats.org/drawingml/2006/picture">
                <pic:pic>
                  <pic:nvPicPr>
                    <pic:cNvPr id="56" name="IM 5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9370" cy="146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044"/>
        <w:spacing w:before="154" w:line="205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图1-8     中国经济增长情况</w:t>
      </w:r>
    </w:p>
    <w:p>
      <w:pPr>
        <w:pStyle w:val="BodyText"/>
        <w:ind w:left="990"/>
        <w:spacing w:before="27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（数据来源：国家统计局）</w:t>
      </w:r>
    </w:p>
    <w:p>
      <w:pPr>
        <w:spacing w:line="196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6" w:space="100"/>
            <w:col w:w="4163" w:space="0"/>
          </w:cols>
        </w:sectPr>
        <w:rPr>
          <w:sz w:val="18"/>
          <w:szCs w:val="18"/>
        </w:rPr>
      </w:pPr>
    </w:p>
    <w:p>
      <w:pPr>
        <w:pStyle w:val="BodyText"/>
        <w:ind w:left="299"/>
        <w:spacing w:before="494" w:line="174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128800</wp:posOffset>
                </wp:positionV>
                <wp:extent cx="5580380" cy="1214120"/>
                <wp:effectExtent l="0" t="0" r="0" b="0"/>
                <wp:wrapNone/>
                <wp:docPr id="58" name="Rect 58"/>
                <wp:cNvGraphicFramePr/>
                <a:graphic>
                  <a:graphicData uri="http://schemas.microsoft.com/office/word/2010/wordprocessingShape">
                    <wps:wsp>
                      <wps:cNvPr id="58" name="Rect 58"/>
                      <wps:cNvSpPr/>
                      <wps:spPr>
                        <a:xfrm>
                          <a:off x="0" y="128800"/>
                          <a:ext cx="5580380" cy="121412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76" style="position:absolute;margin-left:0pt;margin-top:10.1418pt;mso-position-vertical-relative:text;mso-position-horizontal-relative:text;width:439.4pt;height:95.6pt;z-index:-251611136;" fillcolor="#D4E5F5" filled="true" stroked="false"/>
            </w:pict>
          </mc:Fallback>
        </mc:AlternateContent>
      </w:r>
      <w:bookmarkStart w:name="bookmark18" w:id="7"/>
      <w:bookmarkEnd w:id="7"/>
      <w:r>
        <w:rPr>
          <w:sz w:val="28"/>
          <w:szCs w:val="28"/>
          <w:color w:val="231F20"/>
        </w:rPr>
        <w:t>专栏一    我国各部门杠杆率的变动及分析</w:t>
      </w:r>
    </w:p>
    <w:p>
      <w:pPr>
        <w:pStyle w:val="BodyText"/>
        <w:ind w:left="291" w:right="4621" w:firstLine="428"/>
        <w:spacing w:before="371" w:line="193" w:lineRule="auto"/>
        <w:rPr/>
      </w:pPr>
      <w:r>
        <w:pict>
          <v:shape id="_x0000_s78" style="position:absolute;margin-left:230.265pt;margin-top:17.5167pt;mso-position-vertical-relative:text;mso-position-horizontal-relative:text;width:195.95pt;height:39.3pt;z-index:25170636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34" w:right="20" w:hanging="14"/>
                    <w:spacing w:before="21" w:line="227" w:lineRule="auto"/>
                    <w:rPr/>
                  </w:pPr>
                  <w:r>
                    <w:rPr>
                      <w:color w:val="231F20"/>
                      <w:spacing w:val="5"/>
                    </w:rPr>
                    <w:t>债务结构与经济发展关系的指标，能为防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17"/>
                    </w:rPr>
                    <w:t>范化解金融风险、维护金融稳定提供重</w:t>
                  </w:r>
                </w:p>
              </w:txbxContent>
            </v:textbox>
          </v:shape>
        </w:pict>
      </w:r>
      <w:r>
        <w:rPr>
          <w:color w:val="231F20"/>
          <w:spacing w:val="5"/>
        </w:rPr>
        <w:t>宏观杠杆率是一国非金融部门债务余 </w:t>
      </w:r>
      <w:r>
        <w:rPr>
          <w:color w:val="231F20"/>
          <w:spacing w:val="4"/>
        </w:rPr>
        <w:t>额与</w:t>
      </w:r>
      <w:r>
        <w:rPr>
          <w:color w:val="231F20"/>
        </w:rPr>
        <w:t>GDP</w:t>
      </w:r>
      <w:r>
        <w:rPr>
          <w:color w:val="231F20"/>
          <w:spacing w:val="4"/>
        </w:rPr>
        <w:t>的比值，是衡量债务融资规模、</w:t>
      </w:r>
    </w:p>
    <w:p>
      <w:pPr>
        <w:spacing w:line="193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spacing w:before="319"/>
        <w:rPr/>
      </w:pPr>
      <w:r/>
    </w:p>
    <w:p>
      <w:pPr>
        <w:sectPr>
          <w:headerReference w:type="default" r:id="rId35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6" w:right="355"/>
        <w:spacing w:before="48" w:line="250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-112533</wp:posOffset>
                </wp:positionV>
                <wp:extent cx="5580380" cy="7355840"/>
                <wp:effectExtent l="0" t="0" r="0" b="0"/>
                <wp:wrapNone/>
                <wp:docPr id="60" name="Rect 60"/>
                <wp:cNvGraphicFramePr/>
                <a:graphic>
                  <a:graphicData uri="http://schemas.microsoft.com/office/word/2010/wordprocessingShape">
                    <wps:wsp>
                      <wps:cNvPr id="60" name="Rect 60"/>
                      <wps:cNvSpPr/>
                      <wps:spPr>
                        <a:xfrm>
                          <a:off x="0" y="-112533"/>
                          <a:ext cx="5580380" cy="73558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0" style="position:absolute;margin-left:0pt;margin-top:-8.8609pt;mso-position-vertical-relative:text;mso-position-horizontal-relative:text;width:439.4pt;height:579.2pt;z-index:-251602944;" fillcolor="#D4E5F5" filled="true" stroked="false"/>
            </w:pict>
          </mc:Fallback>
        </mc:AlternateContent>
      </w:r>
      <w:r>
        <w:rPr>
          <w:color w:val="231F20"/>
          <w:spacing w:val="2"/>
        </w:rPr>
        <w:t>要决策依据。2024年，我国宏观杠杆率上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升，但杠杆率结构持续优化，反映出面对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内外部多重困难挑战，宏观调控政策持续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加力，巩固经济回升向好态势。</w:t>
      </w:r>
    </w:p>
    <w:p>
      <w:pPr>
        <w:pStyle w:val="BodyText"/>
        <w:ind w:left="721"/>
        <w:spacing w:line="174" w:lineRule="auto"/>
        <w:rPr/>
      </w:pPr>
      <w:r>
        <w:rPr>
          <w:color w:val="231F20"/>
          <w:spacing w:val="-2"/>
        </w:rPr>
        <w:t>一、我国宏观杠杆率基本情况</w:t>
      </w:r>
    </w:p>
    <w:p>
      <w:pPr>
        <w:pStyle w:val="BodyText"/>
        <w:ind w:left="274" w:right="356" w:firstLine="440"/>
        <w:spacing w:before="117" w:line="250" w:lineRule="auto"/>
        <w:rPr/>
      </w:pPr>
      <w:r>
        <w:rPr>
          <w:color w:val="231F20"/>
          <w:spacing w:val="-2"/>
        </w:rPr>
        <w:t>2024年，我国宏观杠杆率为298.8</w:t>
      </w:r>
      <w:r>
        <w:rPr>
          <w:color w:val="231F20"/>
          <w:spacing w:val="-3"/>
        </w:rPr>
        <w:t>%，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较上年高9.9个百分点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4"/>
          <w:position w:val="9"/>
        </w:rPr>
        <w:t>①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8"/>
          <w:position w:val="9"/>
        </w:rPr>
        <w:t xml:space="preserve"> </w:t>
      </w:r>
      <w:r>
        <w:rPr>
          <w:color w:val="231F20"/>
          <w:spacing w:val="4"/>
        </w:rPr>
        <w:t>。分部门看，政府</w:t>
      </w:r>
      <w:r>
        <w:rPr>
          <w:color w:val="231F20"/>
        </w:rPr>
        <w:t xml:space="preserve"> </w:t>
      </w:r>
      <w:r>
        <w:rPr>
          <w:color w:val="231F20"/>
          <w:spacing w:val="18"/>
        </w:rPr>
        <w:t>部门成为加杠杆主力，非金融企业部门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5"/>
        </w:rPr>
        <w:t>（以下简称企业部门）加杠杆速度边际放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3"/>
        </w:rPr>
        <w:t>缓，住户部门杠杆率稳中有降。2024年，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政府部门杠杆率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-3"/>
          <w:position w:val="9"/>
        </w:rPr>
        <w:t>②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-19"/>
          <w:position w:val="9"/>
        </w:rPr>
        <w:t xml:space="preserve"> </w:t>
      </w:r>
      <w:r>
        <w:rPr>
          <w:color w:val="231F20"/>
          <w:spacing w:val="-3"/>
        </w:rPr>
        <w:t>为61.3%，较上年高6.7个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百分点，占总杠杆率增幅的67.0%；企业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部门杠杆率为167.7%，较上年高4.0个百分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7"/>
        </w:rPr>
        <w:t>点；住户部门杠杆率为69.8%，较上年低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0.7个百分点。</w:t>
      </w:r>
    </w:p>
    <w:p>
      <w:pPr>
        <w:pStyle w:val="BodyText"/>
        <w:ind w:left="291" w:right="355" w:firstLine="429"/>
        <w:spacing w:before="2" w:line="247" w:lineRule="auto"/>
        <w:rPr/>
      </w:pPr>
      <w:r>
        <w:rPr>
          <w:color w:val="231F20"/>
          <w:spacing w:val="19"/>
        </w:rPr>
        <w:t>二、合理看待当前宏观杠杆率上升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现象</w:t>
      </w:r>
    </w:p>
    <w:p>
      <w:pPr>
        <w:pStyle w:val="BodyText"/>
        <w:ind w:left="287" w:right="355" w:firstLine="427"/>
        <w:spacing w:before="8" w:line="249" w:lineRule="auto"/>
        <w:rPr/>
      </w:pPr>
      <w:r>
        <w:pict>
          <v:shape id="_x0000_s82" style="position:absolute;margin-left:0.250397pt;margin-top:231.726pt;mso-position-vertical-relative:text;mso-position-horizontal-relative:text;width:90.75pt;height:0.5pt;z-index:251714560;" filled="false" strokecolor="#231F20" strokeweight="0.50pt" coordsize="1815,10" coordorigin="0,0" path="m0,5l1814,5e">
            <v:stroke joinstyle="miter" miterlimit="10"/>
          </v:shape>
        </w:pict>
      </w:r>
      <w:r>
        <w:rPr>
          <w:color w:val="231F20"/>
          <w:spacing w:val="15"/>
        </w:rPr>
        <w:t>2024年宏观杠杆率上升是宏观调控</w:t>
      </w:r>
      <w:r>
        <w:rPr>
          <w:color w:val="231F20"/>
        </w:rPr>
        <w:t xml:space="preserve"> </w:t>
      </w:r>
      <w:r>
        <w:rPr>
          <w:color w:val="231F20"/>
          <w:spacing w:val="18"/>
        </w:rPr>
        <w:t>加力和物价指数低位运行共同作用的结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果。受国内外多重因素影响，2024年我国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8"/>
        </w:rPr>
        <w:t>加强逆周期调节，支持性货币政策灵活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8"/>
        </w:rPr>
        <w:t>适度、精准有力，积极的财政政策适度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6"/>
        </w:rPr>
        <w:t>加力、提质增效，存量政策有效落实、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增量政策加力推出，既促进了2024年全年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增长目标实现，也为2025年发展奠定了良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好基础。2024年末，非金融部门总债务同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比增长7.8%。同时，物价指数低位运行拉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8" w:right="282" w:hanging="7"/>
        <w:spacing w:before="42" w:line="251" w:lineRule="auto"/>
        <w:jc w:val="both"/>
        <w:rPr/>
      </w:pPr>
      <w:r>
        <w:rPr>
          <w:color w:val="231F20"/>
          <w:spacing w:val="17"/>
        </w:rPr>
        <w:t>低名义</w:t>
      </w:r>
      <w:r>
        <w:rPr>
          <w:color w:val="231F20"/>
        </w:rPr>
        <w:t>GDP</w:t>
      </w:r>
      <w:r>
        <w:rPr>
          <w:color w:val="231F20"/>
          <w:spacing w:val="17"/>
        </w:rPr>
        <w:t>增速，2024年我国名义</w:t>
      </w:r>
      <w:r>
        <w:rPr>
          <w:color w:val="231F20"/>
        </w:rPr>
        <w:t>GDP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2"/>
        </w:rPr>
        <w:t>增长4.2%，低于同期非金融部门总债务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8"/>
        </w:rPr>
        <w:t>增速。</w:t>
      </w:r>
    </w:p>
    <w:p>
      <w:pPr>
        <w:pStyle w:val="BodyText"/>
        <w:ind w:left="438"/>
        <w:spacing w:line="174" w:lineRule="auto"/>
        <w:rPr/>
      </w:pPr>
      <w:r>
        <w:rPr>
          <w:color w:val="231F20"/>
          <w:spacing w:val="-1"/>
        </w:rPr>
        <w:t>三、我国宏观杠杆率结构持续优化</w:t>
      </w:r>
    </w:p>
    <w:p>
      <w:pPr>
        <w:pStyle w:val="BodyText"/>
        <w:ind w:left="413"/>
        <w:spacing w:before="119" w:line="192" w:lineRule="auto"/>
        <w:rPr/>
      </w:pPr>
      <w:r>
        <w:rPr>
          <w:color w:val="231F20"/>
          <w:spacing w:val="-7"/>
        </w:rPr>
        <w:t>（</w:t>
      </w:r>
      <w:r>
        <w:rPr>
          <w:color w:val="231F20"/>
          <w:spacing w:val="25"/>
          <w:w w:val="102"/>
        </w:rPr>
        <w:t xml:space="preserve"> </w:t>
      </w:r>
      <w:r>
        <w:rPr>
          <w:color w:val="231F20"/>
          <w:spacing w:val="-7"/>
        </w:rPr>
        <w:t>一 ）企业部门杠杆结构继续优化</w:t>
      </w:r>
    </w:p>
    <w:p>
      <w:pPr>
        <w:pStyle w:val="BodyText"/>
        <w:ind w:right="282" w:firstLine="429"/>
        <w:spacing w:before="108" w:line="249" w:lineRule="auto"/>
        <w:rPr/>
      </w:pPr>
      <w:r>
        <w:rPr>
          <w:color w:val="231F20"/>
        </w:rPr>
        <w:t>2024年货币政策坚持支持性的立场，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5"/>
        </w:rPr>
        <w:t>货币信贷合理增长，推动社会综合融资成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6"/>
        </w:rPr>
        <w:t>本稳中有降，引导信贷结构调整优化，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2"/>
        </w:rPr>
        <w:t>提升服务实体经济质效。2024年，企业部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6"/>
        </w:rPr>
        <w:t>门杠杆率为167.7%，较上年高4.0个百分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6"/>
        </w:rPr>
        <w:t>点，占宏观杠杆率全部增幅的40.5%。同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时，企业部门杠杆结构持续优化，企业贷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1"/>
        </w:rPr>
        <w:t>款与</w:t>
      </w:r>
      <w:r>
        <w:rPr>
          <w:color w:val="231F20"/>
        </w:rPr>
        <w:t>GDP</w:t>
      </w:r>
      <w:r>
        <w:rPr>
          <w:color w:val="231F20"/>
          <w:spacing w:val="11"/>
        </w:rPr>
        <w:t>之比较上年上升5.4个百分点，</w:t>
      </w:r>
      <w:r>
        <w:rPr>
          <w:color w:val="231F20"/>
          <w:spacing w:val="3"/>
        </w:rPr>
        <w:t xml:space="preserve">  </w:t>
      </w:r>
      <w:r>
        <w:rPr>
          <w:color w:val="231F20"/>
          <w:spacing w:val="5"/>
        </w:rPr>
        <w:t>其中，企业中长期贷款拉动企业部门杠杆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2"/>
        </w:rPr>
        <w:t>率上升4.2个百分点，表明金融系统向企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业部门提供了更加稳定的长期资金支持；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20"/>
        </w:rPr>
        <w:t>企业表外债务（委托贷款等）与</w:t>
      </w:r>
      <w:r>
        <w:rPr>
          <w:color w:val="231F20"/>
        </w:rPr>
        <w:t>GDP</w:t>
      </w:r>
      <w:r>
        <w:rPr>
          <w:color w:val="231F20"/>
          <w:spacing w:val="20"/>
        </w:rPr>
        <w:t>之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2"/>
        </w:rPr>
        <w:t>比较上年低0.8个百分点，有序释放潜在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风险。</w:t>
      </w:r>
    </w:p>
    <w:p>
      <w:pPr>
        <w:pStyle w:val="BodyText"/>
        <w:ind w:left="1" w:right="284" w:firstLine="411"/>
        <w:spacing w:before="1" w:line="249" w:lineRule="auto"/>
        <w:rPr/>
      </w:pPr>
      <w:r>
        <w:rPr>
          <w:color w:val="231F20"/>
          <w:spacing w:val="-1"/>
        </w:rPr>
        <w:t>（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  <w:spacing w:val="-1"/>
        </w:rPr>
        <w:t>二 ）政府部门杠杆率上升推动经济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持续回升向好</w:t>
      </w:r>
    </w:p>
    <w:p>
      <w:pPr>
        <w:pStyle w:val="BodyText"/>
        <w:ind w:left="2" w:right="283" w:firstLine="426"/>
        <w:spacing w:before="5" w:line="249" w:lineRule="auto"/>
        <w:jc w:val="both"/>
        <w:rPr/>
      </w:pPr>
      <w:r>
        <w:rPr>
          <w:color w:val="231F20"/>
          <w:spacing w:val="3"/>
        </w:rPr>
        <w:t>2024年，政府部门杠杆率为61.3%，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较上年高6.7个百分点，占总杠杆率增幅的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6"/>
        </w:rPr>
        <w:t>67.0%，这体现了财政政策在化债化险和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扩大内需上积极作为。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spacing w:val="1"/>
        </w:rPr>
        <w:t>一方面，新增政府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债务总规模8.96万亿元，保障财政重点领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域支出强度，拉动有效投资。另一方面，</w:t>
      </w:r>
    </w:p>
    <w:p>
      <w:pPr>
        <w:spacing w:line="249" w:lineRule="auto"/>
        <w:sectPr>
          <w:type w:val="continuous"/>
          <w:pgSz w:w="11906" w:h="16158"/>
          <w:pgMar w:top="1384" w:right="1417" w:bottom="400" w:left="1700" w:header="1061" w:footer="0" w:gutter="0"/>
          <w:cols w:equalWidth="0" w:num="2">
            <w:col w:w="4523" w:space="100"/>
            <w:col w:w="4165" w:space="0"/>
          </w:cols>
        </w:sectPr>
        <w:rPr/>
      </w:pPr>
    </w:p>
    <w:p>
      <w:pPr>
        <w:pStyle w:val="BodyText"/>
        <w:spacing w:line="290" w:lineRule="auto"/>
        <w:rPr/>
      </w:pPr>
      <w:r/>
    </w:p>
    <w:p>
      <w:pPr>
        <w:pStyle w:val="BodyText"/>
        <w:ind w:left="342"/>
        <w:spacing w:before="77" w:line="176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-1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4"/>
        </w:rPr>
        <w:t xml:space="preserve"> </w:t>
      </w:r>
      <w:r>
        <w:rPr>
          <w:sz w:val="16"/>
          <w:szCs w:val="16"/>
          <w:color w:val="231F20"/>
          <w:spacing w:val="-1"/>
        </w:rPr>
        <w:t>2025年初，国家统计局对GDP历史数据进行全面修正，</w:t>
      </w:r>
      <w:r>
        <w:rPr>
          <w:sz w:val="16"/>
          <w:szCs w:val="16"/>
          <w:color w:val="231F20"/>
          <w:spacing w:val="-2"/>
        </w:rPr>
        <w:t>宏观杠杆率历史数据相应进行修正。</w:t>
      </w:r>
    </w:p>
    <w:p>
      <w:pPr>
        <w:pStyle w:val="BodyText"/>
        <w:ind w:left="342"/>
        <w:spacing w:before="14" w:line="156" w:lineRule="exact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position w:val="-1"/>
        </w:rPr>
        <w:t>②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1"/>
          <w:position w:val="-1"/>
        </w:rPr>
        <w:t xml:space="preserve"> </w:t>
      </w:r>
      <w:r>
        <w:rPr>
          <w:sz w:val="16"/>
          <w:szCs w:val="16"/>
          <w:color w:val="231F20"/>
          <w:position w:val="-1"/>
        </w:rPr>
        <w:t>计算政府部门杠杆率时，政府部门债务包括中央政府债务和地方政府法定债务。</w:t>
      </w:r>
    </w:p>
    <w:p>
      <w:pPr>
        <w:spacing w:line="156" w:lineRule="exact"/>
        <w:sectPr>
          <w:type w:val="continuous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>
          <w:sz w:val="16"/>
          <w:szCs w:val="16"/>
        </w:rPr>
      </w:pPr>
    </w:p>
    <w:p>
      <w:pPr>
        <w:spacing w:before="336"/>
        <w:rPr/>
      </w:pPr>
      <w:r/>
    </w:p>
    <w:p>
      <w:pPr>
        <w:sectPr>
          <w:headerReference w:type="default" r:id="rId36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87" w:right="362" w:firstLine="13"/>
        <w:spacing w:before="49" w:line="249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-111877</wp:posOffset>
                </wp:positionV>
                <wp:extent cx="5580380" cy="1488440"/>
                <wp:effectExtent l="0" t="0" r="0" b="0"/>
                <wp:wrapNone/>
                <wp:docPr id="64" name="Rect 64"/>
                <wp:cNvGraphicFramePr/>
                <a:graphic>
                  <a:graphicData uri="http://schemas.microsoft.com/office/word/2010/wordprocessingShape">
                    <wps:wsp>
                      <wps:cNvPr id="64" name="Rect 64"/>
                      <wps:cNvSpPr/>
                      <wps:spPr>
                        <a:xfrm>
                          <a:off x="0" y="-111877"/>
                          <a:ext cx="5580380" cy="14884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4" style="position:absolute;margin-left:0pt;margin-top:-8.80927pt;mso-position-vertical-relative:text;mso-position-horizontal-relative:text;width:439.4pt;height:117.2pt;z-index:-251594752;" fillcolor="#D4E5F5" filled="true" stroked="false"/>
            </w:pict>
          </mc:Fallback>
        </mc:AlternateContent>
      </w:r>
      <w:r>
        <w:rPr>
          <w:color w:val="231F20"/>
          <w:spacing w:val="3"/>
        </w:rPr>
        <w:t>12万亿元一揽子化债增量政策以及金融支 </w:t>
      </w:r>
      <w:r>
        <w:rPr>
          <w:color w:val="231F20"/>
          <w:spacing w:val="2"/>
        </w:rPr>
        <w:t>持融资平台债务风险化解政策落地，2024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0"/>
        </w:rPr>
        <w:t>年新增2万亿元地方政府债务限额用于置 </w:t>
      </w:r>
      <w:r>
        <w:rPr>
          <w:color w:val="231F20"/>
          <w:spacing w:val="5"/>
        </w:rPr>
        <w:t>换存量隐性债务，地方债务风险得到有效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7"/>
        </w:rPr>
        <w:t>缓释。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07"/>
        <w:spacing w:before="42" w:line="192" w:lineRule="auto"/>
        <w:rPr/>
      </w:pPr>
      <w:r>
        <w:rPr>
          <w:color w:val="231F20"/>
          <w:spacing w:val="-7"/>
        </w:rPr>
        <w:t>（</w:t>
      </w:r>
      <w:r>
        <w:rPr>
          <w:color w:val="231F20"/>
          <w:spacing w:val="18"/>
          <w:w w:val="102"/>
        </w:rPr>
        <w:t xml:space="preserve"> </w:t>
      </w:r>
      <w:r>
        <w:rPr>
          <w:color w:val="231F20"/>
          <w:spacing w:val="-7"/>
        </w:rPr>
        <w:t>三 ）住户部门杠杆率稳中有降</w:t>
      </w:r>
    </w:p>
    <w:p>
      <w:pPr>
        <w:pStyle w:val="BodyText"/>
        <w:ind w:right="284" w:firstLine="422"/>
        <w:spacing w:before="100" w:line="249" w:lineRule="auto"/>
        <w:rPr/>
      </w:pPr>
      <w:r>
        <w:rPr>
          <w:color w:val="231F20"/>
          <w:spacing w:val="29"/>
        </w:rPr>
        <w:t>2024年，我国住户部门杠杆率为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69.8%， 较上年低0.7个百分点。2024年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1"/>
        </w:rPr>
        <w:t>末，住户部门债务同比增长3.1%，较上年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末低1.5个百分点。</w:t>
      </w:r>
    </w:p>
    <w:p>
      <w:pPr>
        <w:spacing w:line="249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30" w:space="100"/>
            <w:col w:w="4160" w:space="0"/>
          </w:cols>
        </w:sectPr>
        <w:rPr/>
      </w:pPr>
    </w:p>
    <w:p>
      <w:pPr>
        <w:spacing w:line="361" w:lineRule="exact"/>
        <w:rPr/>
      </w:pPr>
      <w:r/>
    </w:p>
    <w:p>
      <w:pPr>
        <w:spacing w:line="361" w:lineRule="exact"/>
        <w:sectPr>
          <w:type w:val="continuous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8" w:right="359" w:firstLine="409"/>
        <w:spacing w:before="47" w:line="237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9"/>
        </w:rPr>
        <w:t>（二）三大需求协同发力，推动经</w:t>
      </w:r>
      <w:r>
        <w:rPr>
          <w:sz w:val="24"/>
          <w:szCs w:val="24"/>
          <w:color w:val="231F20"/>
          <w:spacing w:val="11"/>
        </w:rPr>
        <w:t xml:space="preserve"> </w:t>
      </w:r>
      <w:r>
        <w:rPr>
          <w:sz w:val="24"/>
          <w:szCs w:val="24"/>
          <w:color w:val="231F20"/>
          <w:spacing w:val="-2"/>
        </w:rPr>
        <w:t>济稳中有进</w:t>
      </w:r>
    </w:p>
    <w:p>
      <w:pPr>
        <w:pStyle w:val="BodyText"/>
        <w:ind w:left="4" w:right="357" w:firstLine="425"/>
        <w:spacing w:before="95" w:line="251" w:lineRule="auto"/>
        <w:rPr/>
      </w:pPr>
      <w:r>
        <w:rPr>
          <w:rFonts w:ascii="Times New Roman" w:hAnsi="Times New Roman" w:eastAsia="Times New Roman" w:cs="Times New Roman"/>
          <w:color w:val="231F20"/>
          <w:spacing w:val="17"/>
        </w:rPr>
        <w:t>2024</w:t>
      </w:r>
      <w:r>
        <w:rPr>
          <w:rFonts w:ascii="Times New Roman" w:hAnsi="Times New Roman" w:eastAsia="Times New Roman" w:cs="Times New Roman"/>
          <w:color w:val="231F20"/>
          <w:spacing w:val="-12"/>
        </w:rPr>
        <w:t xml:space="preserve"> </w:t>
      </w:r>
      <w:r>
        <w:rPr>
          <w:color w:val="231F20"/>
          <w:spacing w:val="17"/>
        </w:rPr>
        <w:t>年，固定资产投资（不含农户）</w:t>
      </w:r>
      <w:r>
        <w:rPr>
          <w:color w:val="231F20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4"/>
        </w:rPr>
        <w:t>51.44</w:t>
      </w:r>
      <w:r>
        <w:rPr>
          <w:color w:val="231F20"/>
          <w:spacing w:val="4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3.2%</w:t>
      </w:r>
      <w:r>
        <w:rPr>
          <w:color w:val="231F20"/>
          <w:spacing w:val="4"/>
        </w:rPr>
        <w:t>。社会消费</w:t>
      </w:r>
      <w:r>
        <w:rPr>
          <w:color w:val="231F20"/>
          <w:spacing w:val="3"/>
        </w:rPr>
        <w:t>品零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售总额</w:t>
      </w:r>
      <w:r>
        <w:rPr>
          <w:rFonts w:ascii="Times New Roman" w:hAnsi="Times New Roman" w:eastAsia="Times New Roman" w:cs="Times New Roman"/>
          <w:color w:val="231F20"/>
          <w:spacing w:val="4"/>
        </w:rPr>
        <w:t>48.33</w:t>
      </w:r>
      <w:r>
        <w:rPr>
          <w:color w:val="231F20"/>
          <w:spacing w:val="4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3.5%</w:t>
      </w:r>
      <w:r>
        <w:rPr>
          <w:color w:val="231F20"/>
          <w:spacing w:val="4"/>
        </w:rPr>
        <w:t>。货物进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>出口总额</w:t>
      </w:r>
      <w:r>
        <w:rPr>
          <w:rFonts w:ascii="Times New Roman" w:hAnsi="Times New Roman" w:eastAsia="Times New Roman" w:cs="Times New Roman"/>
          <w:color w:val="231F20"/>
          <w:spacing w:val="13"/>
        </w:rPr>
        <w:t>43.84</w:t>
      </w:r>
      <w:r>
        <w:rPr>
          <w:color w:val="231F20"/>
          <w:spacing w:val="13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13"/>
        </w:rPr>
        <w:t>5.0%</w:t>
      </w:r>
      <w:r>
        <w:rPr>
          <w:color w:val="231F20"/>
          <w:spacing w:val="13"/>
        </w:rPr>
        <w:t>。其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3"/>
        </w:rPr>
        <w:t>中，出口</w:t>
      </w:r>
      <w:r>
        <w:rPr>
          <w:rFonts w:ascii="Times New Roman" w:hAnsi="Times New Roman" w:eastAsia="Times New Roman" w:cs="Times New Roman"/>
          <w:color w:val="231F20"/>
          <w:spacing w:val="3"/>
        </w:rPr>
        <w:t>25.45</w:t>
      </w:r>
      <w:r>
        <w:rPr>
          <w:color w:val="231F20"/>
          <w:spacing w:val="3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3"/>
        </w:rPr>
        <w:t>7.</w:t>
      </w:r>
      <w:r>
        <w:rPr>
          <w:rFonts w:ascii="Times New Roman" w:hAnsi="Times New Roman" w:eastAsia="Times New Roman" w:cs="Times New Roman"/>
          <w:color w:val="231F20"/>
          <w:spacing w:val="2"/>
        </w:rPr>
        <w:t>1%</w:t>
      </w:r>
      <w:r>
        <w:rPr>
          <w:color w:val="231F20"/>
          <w:spacing w:val="2"/>
        </w:rPr>
        <w:t>；进口</w:t>
      </w:r>
      <w:r>
        <w:rPr>
          <w:color w:val="231F20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8"/>
        </w:rPr>
        <w:t>18.39</w:t>
      </w:r>
      <w:r>
        <w:rPr>
          <w:color w:val="231F20"/>
          <w:spacing w:val="8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8"/>
        </w:rPr>
        <w:t>2.3%</w:t>
      </w:r>
      <w:r>
        <w:rPr>
          <w:color w:val="231F20"/>
          <w:spacing w:val="8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8"/>
        </w:rPr>
        <w:t>1</w:t>
      </w:r>
      <w:r>
        <w:rPr>
          <w:color w:val="231F20"/>
          <w:spacing w:val="8"/>
        </w:rPr>
        <w:t>-</w:t>
      </w:r>
      <w:r>
        <w:rPr>
          <w:rFonts w:ascii="Times New Roman" w:hAnsi="Times New Roman" w:eastAsia="Times New Roman" w:cs="Times New Roman"/>
          <w:color w:val="231F20"/>
          <w:spacing w:val="8"/>
        </w:rPr>
        <w:t>9</w:t>
      </w:r>
      <w:r>
        <w:rPr>
          <w:color w:val="231F20"/>
          <w:spacing w:val="8"/>
        </w:rPr>
        <w:t>）。</w:t>
      </w:r>
      <w:r>
        <w:rPr>
          <w:color w:val="231F20"/>
          <w:spacing w:val="4"/>
        </w:rPr>
        <w:t xml:space="preserve">  </w:t>
      </w:r>
      <w:r>
        <w:rPr>
          <w:color w:val="231F20"/>
        </w:rPr>
        <w:t>全年货物进出口顺差</w:t>
      </w:r>
      <w:r>
        <w:rPr>
          <w:rFonts w:ascii="Times New Roman" w:hAnsi="Times New Roman" w:eastAsia="Times New Roman" w:cs="Times New Roman"/>
          <w:color w:val="231F20"/>
        </w:rPr>
        <w:t>7.06</w:t>
      </w:r>
      <w:r>
        <w:rPr>
          <w:color w:val="231F20"/>
        </w:rPr>
        <w:t>万亿元，较上年增加</w:t>
      </w:r>
      <w:r>
        <w:rPr>
          <w:color w:val="231F20"/>
          <w:spacing w:val="12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1.28</w:t>
      </w:r>
      <w:r>
        <w:rPr>
          <w:color w:val="231F20"/>
        </w:rPr>
        <w:t>万亿元。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color w:val="231F20"/>
        </w:rPr>
        <w:t>年，最终消费支出对经济增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9"/>
        </w:rPr>
        <w:t>长的贡献率为</w:t>
      </w:r>
      <w:r>
        <w:rPr>
          <w:rFonts w:ascii="Times New Roman" w:hAnsi="Times New Roman" w:eastAsia="Times New Roman" w:cs="Times New Roman"/>
          <w:color w:val="231F20"/>
          <w:spacing w:val="9"/>
        </w:rPr>
        <w:t>44.5%</w:t>
      </w:r>
      <w:r>
        <w:rPr>
          <w:color w:val="231F20"/>
          <w:spacing w:val="9"/>
        </w:rPr>
        <w:t>，拉动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9"/>
        </w:rPr>
        <w:t>增长</w:t>
      </w:r>
      <w:r>
        <w:rPr>
          <w:rFonts w:ascii="Times New Roman" w:hAnsi="Times New Roman" w:eastAsia="Times New Roman" w:cs="Times New Roman"/>
          <w:color w:val="231F20"/>
          <w:spacing w:val="9"/>
        </w:rPr>
        <w:t>2.2</w:t>
      </w:r>
      <w:r>
        <w:rPr>
          <w:color w:val="231F20"/>
          <w:spacing w:val="9"/>
        </w:rPr>
        <w:t>个百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9"/>
        </w:rPr>
        <w:t>分点；资本形成总额对经济增长的贡献率为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25.2%</w:t>
      </w:r>
      <w:r>
        <w:rPr>
          <w:color w:val="231F20"/>
        </w:rPr>
        <w:t>，拉动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</w:rPr>
        <w:t>增长</w:t>
      </w:r>
      <w:r>
        <w:rPr>
          <w:rFonts w:ascii="Times New Roman" w:hAnsi="Times New Roman" w:eastAsia="Times New Roman" w:cs="Times New Roman"/>
          <w:color w:val="231F20"/>
        </w:rPr>
        <w:t>1.3</w:t>
      </w:r>
      <w:r>
        <w:rPr>
          <w:color w:val="231F20"/>
        </w:rPr>
        <w:t>个百分</w:t>
      </w:r>
      <w:r>
        <w:rPr>
          <w:color w:val="231F20"/>
          <w:spacing w:val="-1"/>
        </w:rPr>
        <w:t>点；货物和服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务净出口对经济增长的贡献率为</w:t>
      </w:r>
      <w:r>
        <w:rPr>
          <w:rFonts w:ascii="Times New Roman" w:hAnsi="Times New Roman" w:eastAsia="Times New Roman" w:cs="Times New Roman"/>
          <w:color w:val="231F20"/>
          <w:spacing w:val="1"/>
        </w:rPr>
        <w:t>30.3%</w:t>
      </w:r>
      <w:r>
        <w:rPr>
          <w:color w:val="231F20"/>
          <w:spacing w:val="1"/>
        </w:rPr>
        <w:t>，拉动</w:t>
      </w:r>
      <w:r>
        <w:rPr>
          <w:color w:val="231F20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3"/>
        </w:rPr>
        <w:t>GDP</w:t>
      </w:r>
      <w:r>
        <w:rPr>
          <w:color w:val="231F20"/>
          <w:spacing w:val="-3"/>
        </w:rPr>
        <w:t>增长</w:t>
      </w:r>
      <w:r>
        <w:rPr>
          <w:rFonts w:ascii="Times New Roman" w:hAnsi="Times New Roman" w:eastAsia="Times New Roman" w:cs="Times New Roman"/>
          <w:color w:val="231F20"/>
          <w:spacing w:val="-3"/>
        </w:rPr>
        <w:t>1.5</w:t>
      </w:r>
      <w:r>
        <w:rPr>
          <w:color w:val="231F20"/>
          <w:spacing w:val="-3"/>
        </w:rPr>
        <w:t>个百分点。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605"/>
        <w:spacing w:before="46" w:line="133" w:lineRule="exact"/>
        <w:rPr>
          <w:sz w:val="13"/>
          <w:szCs w:val="13"/>
        </w:rPr>
      </w:pPr>
      <w:r>
        <w:rPr>
          <w:rFonts w:ascii="DejaVu Sans" w:hAnsi="DejaVu Sans" w:eastAsia="DejaVu Sans" w:cs="DejaVu Sans"/>
          <w:sz w:val="13"/>
          <w:szCs w:val="13"/>
          <w:color w:val="EE4156"/>
          <w:spacing w:val="2"/>
        </w:rPr>
        <w:t>——</w:t>
      </w:r>
      <w:r>
        <w:rPr>
          <w:rFonts w:ascii="DejaVu Sans" w:hAnsi="DejaVu Sans" w:eastAsia="DejaVu Sans" w:cs="DejaVu Sans"/>
          <w:sz w:val="13"/>
          <w:szCs w:val="13"/>
          <w:color w:val="EE4156"/>
          <w:spacing w:val="-15"/>
        </w:rPr>
        <w:t xml:space="preserve"> </w:t>
      </w:r>
      <w:r>
        <w:rPr>
          <w:sz w:val="13"/>
          <w:szCs w:val="13"/>
          <w:color w:val="231F20"/>
          <w:spacing w:val="2"/>
        </w:rPr>
        <w:t>投资</w:t>
      </w:r>
      <w:r>
        <w:rPr>
          <w:sz w:val="13"/>
          <w:szCs w:val="13"/>
          <w:color w:val="231F20"/>
          <w:spacing w:val="2"/>
        </w:rPr>
        <w:t xml:space="preserve">     </w:t>
      </w:r>
      <w:r>
        <w:rPr>
          <w:rFonts w:ascii="DejaVu Sans" w:hAnsi="DejaVu Sans" w:eastAsia="DejaVu Sans" w:cs="DejaVu Sans"/>
          <w:sz w:val="13"/>
          <w:szCs w:val="13"/>
          <w:color w:val="4E86C6"/>
          <w:spacing w:val="2"/>
        </w:rPr>
        <w:t>——</w:t>
      </w:r>
      <w:r>
        <w:rPr>
          <w:rFonts w:ascii="DejaVu Sans" w:hAnsi="DejaVu Sans" w:eastAsia="DejaVu Sans" w:cs="DejaVu Sans"/>
          <w:sz w:val="13"/>
          <w:szCs w:val="13"/>
          <w:color w:val="4E86C6"/>
          <w:spacing w:val="-14"/>
        </w:rPr>
        <w:t xml:space="preserve"> </w:t>
      </w:r>
      <w:r>
        <w:rPr>
          <w:sz w:val="13"/>
          <w:szCs w:val="13"/>
          <w:color w:val="231F20"/>
          <w:spacing w:val="2"/>
        </w:rPr>
        <w:t>消费</w:t>
      </w:r>
      <w:r>
        <w:rPr>
          <w:sz w:val="13"/>
          <w:szCs w:val="13"/>
          <w:color w:val="231F20"/>
          <w:spacing w:val="2"/>
        </w:rPr>
        <w:t xml:space="preserve">      </w:t>
      </w:r>
      <w:r>
        <w:rPr>
          <w:sz w:val="13"/>
          <w:szCs w:val="13"/>
          <w:position w:val="4"/>
        </w:rPr>
        <w:drawing>
          <wp:inline distT="0" distB="0" distL="0" distR="0">
            <wp:extent cx="168567" cy="12700"/>
            <wp:effectExtent l="0" t="0" r="0" b="0"/>
            <wp:docPr id="66" name="IM 66"/>
            <wp:cNvGraphicFramePr/>
            <a:graphic>
              <a:graphicData uri="http://schemas.openxmlformats.org/drawingml/2006/picture">
                <pic:pic>
                  <pic:nvPicPr>
                    <pic:cNvPr id="66" name="IM 6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567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1"/>
          <w:w w:val="101"/>
        </w:rPr>
        <w:t xml:space="preserve"> </w:t>
      </w:r>
      <w:r>
        <w:rPr>
          <w:sz w:val="13"/>
          <w:szCs w:val="13"/>
          <w:color w:val="221F20"/>
          <w:spacing w:val="2"/>
        </w:rPr>
        <w:t>出</w:t>
      </w:r>
      <w:r>
        <w:rPr>
          <w:sz w:val="13"/>
          <w:szCs w:val="13"/>
          <w:color w:val="221F20"/>
          <w:spacing w:val="10"/>
          <w:w w:val="102"/>
        </w:rPr>
        <w:t xml:space="preserve"> </w:t>
      </w:r>
      <w:r>
        <w:rPr>
          <w:sz w:val="13"/>
          <w:szCs w:val="13"/>
          <w:color w:val="231E20"/>
          <w:spacing w:val="2"/>
        </w:rPr>
        <w:t>口</w:t>
      </w:r>
      <w:r>
        <w:rPr>
          <w:sz w:val="13"/>
          <w:szCs w:val="13"/>
          <w:color w:val="231E20"/>
          <w:spacing w:val="2"/>
        </w:rPr>
        <w:t xml:space="preserve"> 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"/>
        </w:rPr>
        <w:t xml:space="preserve"> </w:t>
      </w:r>
      <w:r>
        <w:rPr>
          <w:sz w:val="13"/>
          <w:szCs w:val="13"/>
          <w:color w:val="231F20"/>
          <w:spacing w:val="1"/>
        </w:rPr>
        <w:t>以美元计价)</w:t>
      </w:r>
    </w:p>
    <w:p>
      <w:pPr>
        <w:ind w:firstLine="59"/>
        <w:spacing w:before="7" w:line="2772" w:lineRule="exact"/>
        <w:rPr/>
      </w:pPr>
      <w:r>
        <w:rPr>
          <w:position w:val="-55"/>
        </w:rPr>
        <w:drawing>
          <wp:inline distT="0" distB="0" distL="0" distR="0">
            <wp:extent cx="2563876" cy="1760614"/>
            <wp:effectExtent l="0" t="0" r="0" b="0"/>
            <wp:docPr id="68" name="IM 68"/>
            <wp:cNvGraphicFramePr/>
            <a:graphic>
              <a:graphicData uri="http://schemas.openxmlformats.org/drawingml/2006/picture">
                <pic:pic>
                  <pic:nvPicPr>
                    <pic:cNvPr id="68" name="IM 68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3876" cy="176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864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图1-9</w:t>
      </w:r>
      <w:r>
        <w:rPr>
          <w:sz w:val="18"/>
          <w:szCs w:val="18"/>
          <w:color w:val="231F20"/>
          <w:spacing w:val="10"/>
          <w:w w:val="101"/>
        </w:rPr>
        <w:t xml:space="preserve">    </w:t>
      </w:r>
      <w:r>
        <w:rPr>
          <w:sz w:val="18"/>
          <w:szCs w:val="18"/>
          <w:color w:val="231F20"/>
        </w:rPr>
        <w:t>三大需求累计增长情况</w:t>
      </w:r>
    </w:p>
    <w:p>
      <w:pPr>
        <w:pStyle w:val="BodyText"/>
        <w:ind w:left="540"/>
        <w:spacing w:before="27" w:line="195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（数据来源：国家统计局，海关总署）</w:t>
      </w:r>
    </w:p>
    <w:p>
      <w:pPr>
        <w:pStyle w:val="BodyText"/>
        <w:ind w:firstLine="424"/>
        <w:spacing w:before="314" w:line="249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16"/>
        </w:rPr>
        <w:t>2024</w:t>
      </w:r>
      <w:r>
        <w:rPr>
          <w:rFonts w:ascii="Times New Roman" w:hAnsi="Times New Roman" w:eastAsia="Times New Roman" w:cs="Times New Roman"/>
          <w:color w:val="231F20"/>
          <w:spacing w:val="-23"/>
        </w:rPr>
        <w:t xml:space="preserve"> </w:t>
      </w:r>
      <w:r>
        <w:rPr>
          <w:color w:val="231F20"/>
          <w:spacing w:val="16"/>
        </w:rPr>
        <w:t>年，我国经常账户顺差</w:t>
      </w:r>
      <w:r>
        <w:rPr>
          <w:rFonts w:ascii="Times New Roman" w:hAnsi="Times New Roman" w:eastAsia="Times New Roman" w:cs="Times New Roman"/>
          <w:color w:val="231F20"/>
          <w:spacing w:val="16"/>
        </w:rPr>
        <w:t>4239</w:t>
      </w:r>
      <w:r>
        <w:rPr>
          <w:rFonts w:ascii="Times New Roman" w:hAnsi="Times New Roman" w:eastAsia="Times New Roman" w:cs="Times New Roman"/>
          <w:color w:val="231F20"/>
          <w:spacing w:val="-25"/>
        </w:rPr>
        <w:t xml:space="preserve"> </w:t>
      </w:r>
      <w:r>
        <w:rPr>
          <w:color w:val="231F20"/>
          <w:spacing w:val="16"/>
        </w:rPr>
        <w:t>亿美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元，与同期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7"/>
        </w:rPr>
        <w:t>的比值为</w:t>
      </w:r>
      <w:r>
        <w:rPr>
          <w:rFonts w:ascii="Times New Roman" w:hAnsi="Times New Roman" w:eastAsia="Times New Roman" w:cs="Times New Roman"/>
          <w:color w:val="231F20"/>
          <w:spacing w:val="7"/>
        </w:rPr>
        <w:t>2.2%</w:t>
      </w:r>
      <w:r>
        <w:rPr>
          <w:color w:val="231F20"/>
          <w:spacing w:val="7"/>
        </w:rPr>
        <w:t>，继续处于合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8"/>
        </w:rPr>
        <w:t>理均衡区间；资本和金融账户逆差</w:t>
      </w:r>
      <w:r>
        <w:rPr>
          <w:rFonts w:ascii="Times New Roman" w:hAnsi="Times New Roman" w:eastAsia="Times New Roman" w:cs="Times New Roman"/>
          <w:color w:val="231F20"/>
          <w:spacing w:val="8"/>
        </w:rPr>
        <w:t>4340</w:t>
      </w:r>
      <w:r>
        <w:rPr>
          <w:color w:val="231F20"/>
          <w:spacing w:val="8"/>
        </w:rPr>
        <w:t>亿美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8"/>
        </w:rPr>
        <w:t>元，其中非储备性质的金融账户逆差</w:t>
      </w:r>
      <w:r>
        <w:rPr>
          <w:rFonts w:ascii="Times New Roman" w:hAnsi="Times New Roman" w:eastAsia="Times New Roman" w:cs="Times New Roman"/>
          <w:color w:val="231F20"/>
          <w:spacing w:val="8"/>
        </w:rPr>
        <w:t>4962</w:t>
      </w:r>
      <w:r>
        <w:rPr>
          <w:color w:val="231F20"/>
          <w:spacing w:val="8"/>
        </w:rPr>
        <w:t>亿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美元。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color w:val="231F20"/>
        </w:rPr>
        <w:t>年末，我国外汇储备余额</w:t>
      </w:r>
      <w:r>
        <w:rPr>
          <w:rFonts w:ascii="Times New Roman" w:hAnsi="Times New Roman" w:eastAsia="Times New Roman" w:cs="Times New Roman"/>
          <w:color w:val="231F20"/>
        </w:rPr>
        <w:t>3.20</w:t>
      </w:r>
      <w:r>
        <w:rPr>
          <w:color w:val="231F20"/>
        </w:rPr>
        <w:t>万亿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8"/>
        </w:rPr>
        <w:t>美元。</w:t>
      </w:r>
    </w:p>
    <w:p>
      <w:pPr>
        <w:spacing w:line="249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6" w:space="100"/>
            <w:col w:w="4164" w:space="0"/>
          </w:cols>
        </w:sectPr>
        <w:rPr/>
      </w:pPr>
    </w:p>
    <w:p>
      <w:pPr>
        <w:pStyle w:val="BodyText"/>
        <w:rPr/>
      </w:pPr>
      <w:r/>
    </w:p>
    <w:p>
      <w:pPr>
        <w:pStyle w:val="BodyText"/>
        <w:ind w:left="299"/>
        <w:spacing w:before="135" w:line="207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-76905</wp:posOffset>
                </wp:positionV>
                <wp:extent cx="5580380" cy="1747520"/>
                <wp:effectExtent l="0" t="0" r="0" b="0"/>
                <wp:wrapNone/>
                <wp:docPr id="70" name="Rect 70"/>
                <wp:cNvGraphicFramePr/>
                <a:graphic>
                  <a:graphicData uri="http://schemas.microsoft.com/office/word/2010/wordprocessingShape">
                    <wps:wsp>
                      <wps:cNvPr id="70" name="Rect 70"/>
                      <wps:cNvSpPr/>
                      <wps:spPr>
                        <a:xfrm>
                          <a:off x="0" y="-76905"/>
                          <a:ext cx="5580380" cy="174752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6" style="position:absolute;margin-left:0pt;margin-top:-6.05553pt;mso-position-vertical-relative:text;mso-position-horizontal-relative:text;width:439.4pt;height:137.6pt;z-index:-251593728;" fillcolor="#D4E5F5" filled="true" stroked="false"/>
            </w:pict>
          </mc:Fallback>
        </mc:AlternateContent>
      </w:r>
      <w:bookmarkStart w:name="bookmark19" w:id="8"/>
      <w:bookmarkEnd w:id="8"/>
      <w:r>
        <w:rPr>
          <w:sz w:val="28"/>
          <w:szCs w:val="28"/>
          <w:color w:val="231F20"/>
        </w:rPr>
        <w:t>专栏二    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color w:val="231F20"/>
        </w:rPr>
        <w:t>2024</w:t>
      </w:r>
      <w:r>
        <w:rPr>
          <w:sz w:val="28"/>
          <w:szCs w:val="28"/>
          <w:color w:val="231F20"/>
        </w:rPr>
        <w:t>年我国跨境资本流动形势</w:t>
      </w:r>
    </w:p>
    <w:p>
      <w:pPr>
        <w:spacing w:line="286" w:lineRule="exact"/>
        <w:rPr/>
      </w:pPr>
      <w:r/>
    </w:p>
    <w:p>
      <w:pPr>
        <w:spacing w:line="286" w:lineRule="exact"/>
        <w:sectPr>
          <w:type w:val="continuous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85" w:right="356" w:firstLine="430"/>
        <w:spacing w:before="46" w:line="221" w:lineRule="auto"/>
        <w:jc w:val="both"/>
        <w:rPr/>
      </w:pPr>
      <w:r>
        <w:rPr>
          <w:color w:val="231F20"/>
          <w:spacing w:val="15"/>
        </w:rPr>
        <w:t>2024年，我国国际收支保持基本平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>衡。经常账户顺差4239亿美元，与同期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GDP</w:t>
      </w:r>
      <w:r>
        <w:rPr>
          <w:color w:val="231F20"/>
          <w:spacing w:val="14"/>
        </w:rPr>
        <w:t>之比为2.2%，继续处于合理均衡区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间。非储备性质的金融账户逆差4962亿美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4" w:firstLine="5"/>
        <w:spacing w:before="46" w:line="249" w:lineRule="auto"/>
        <w:rPr/>
      </w:pPr>
      <w:r>
        <w:rPr>
          <w:color w:val="231F20"/>
          <w:spacing w:val="3"/>
        </w:rPr>
        <w:t>元，与经常账户顺差形成自主平衡格局。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5"/>
        </w:rPr>
        <w:t>储备资产保持稳定，年末外汇储备余额继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续稳定在3.2万亿美元以上。</w:t>
      </w:r>
    </w:p>
    <w:p>
      <w:pPr>
        <w:pStyle w:val="BodyText"/>
        <w:ind w:left="437"/>
        <w:spacing w:line="229" w:lineRule="exact"/>
        <w:rPr/>
      </w:pPr>
      <w:r>
        <w:rPr>
          <w:color w:val="231F20"/>
          <w:position w:val="-1"/>
        </w:rPr>
        <w:t>直接投资呈现逆差</w:t>
      </w:r>
      <w:r>
        <w:rPr>
          <w:color w:val="231F20"/>
          <w:spacing w:val="-12"/>
          <w:position w:val="-1"/>
        </w:rPr>
        <w:t xml:space="preserve"> </w:t>
      </w:r>
      <w:r>
        <w:rPr>
          <w:color w:val="231F20"/>
          <w:position w:val="-1"/>
        </w:rPr>
        <w:t>。2024年，我国直</w:t>
      </w:r>
    </w:p>
    <w:p>
      <w:pPr>
        <w:spacing w:line="229" w:lineRule="exact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4" w:space="100"/>
            <w:col w:w="4165" w:space="0"/>
          </w:cols>
        </w:sectPr>
        <w:rPr/>
      </w:pPr>
    </w:p>
    <w:p>
      <w:pPr>
        <w:spacing w:before="319"/>
        <w:rPr/>
      </w:pPr>
      <w:r/>
    </w:p>
    <w:p>
      <w:pPr>
        <w:sectPr>
          <w:headerReference w:type="default" r:id="rId39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5" w:right="356" w:firstLine="1"/>
        <w:spacing w:before="54" w:line="249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-108797</wp:posOffset>
                </wp:positionV>
                <wp:extent cx="5580380" cy="7622540"/>
                <wp:effectExtent l="0" t="0" r="0" b="0"/>
                <wp:wrapNone/>
                <wp:docPr id="72" name="Rect 72"/>
                <wp:cNvGraphicFramePr/>
                <a:graphic>
                  <a:graphicData uri="http://schemas.microsoft.com/office/word/2010/wordprocessingShape">
                    <wps:wsp>
                      <wps:cNvPr id="72" name="Rect 72"/>
                      <wps:cNvSpPr/>
                      <wps:spPr>
                        <a:xfrm>
                          <a:off x="0" y="-108797"/>
                          <a:ext cx="5580380" cy="76225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88" style="position:absolute;margin-left:0pt;margin-top:-8.56671pt;mso-position-vertical-relative:text;mso-position-horizontal-relative:text;width:439.4pt;height:600.2pt;z-index:-251585536;" fillcolor="#D4E5F5" filled="true" stroked="false"/>
            </w:pict>
          </mc:Fallback>
        </mc:AlternateContent>
      </w:r>
      <w:r>
        <w:rPr>
          <w:color w:val="231F20"/>
          <w:spacing w:val="2"/>
        </w:rPr>
        <w:t>接投资逆差1537亿美元。对外股权性质直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接投资1300亿美元，自2020年以来持续稳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定在较高水平，显示出我国企业在全球产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业链布局稳步推进。外商来华股权性质直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接投资净流入728亿美元，其中新增资本金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流入909亿美元，表明外商直接投资基本盘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依然稳定。从行业看，外商直接投资质量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不断提升，制造业、科学研究技术服务业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股权性质直接投资净流入规模占非金融部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门吸收股权投资总额的73%，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较2023年上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升31个百分点。</w:t>
      </w:r>
    </w:p>
    <w:p>
      <w:pPr>
        <w:pStyle w:val="BodyText"/>
        <w:ind w:left="289" w:right="357" w:firstLine="431"/>
        <w:spacing w:before="8" w:line="249" w:lineRule="auto"/>
        <w:jc w:val="both"/>
        <w:rPr/>
      </w:pPr>
      <w:r>
        <w:rPr>
          <w:color w:val="231F20"/>
        </w:rPr>
        <w:t>对外证券投资活跃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。2024年，我国证 </w:t>
      </w:r>
      <w:r>
        <w:rPr>
          <w:color w:val="231F20"/>
          <w:spacing w:val="2"/>
        </w:rPr>
        <w:t>券投资逆差1876亿美元，境内对外证券投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资增加2142亿美元。分工具看，对外股本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证券投资净流出1247亿美元，占我国对外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证券投资净流出的近六成，对外债券投资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8"/>
        </w:rPr>
        <w:t>净流出896亿美元。来华证券投资净流入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8"/>
        </w:rPr>
        <w:t>增长，境外对境内证券投资净流入266亿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4"/>
        </w:rPr>
        <w:t>美元，同比增长31%。其中，外资对华债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8"/>
        </w:rPr>
        <w:t>务证券投资净流入468亿美元，同比增长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-10"/>
        </w:rPr>
        <w:t>4.2倍。</w:t>
      </w:r>
    </w:p>
    <w:p>
      <w:pPr>
        <w:pStyle w:val="BodyText"/>
        <w:ind w:left="288" w:right="357" w:firstLine="430"/>
        <w:spacing w:before="3" w:line="233" w:lineRule="auto"/>
        <w:jc w:val="both"/>
        <w:rPr/>
      </w:pPr>
      <w:r>
        <w:rPr>
          <w:color w:val="231F20"/>
          <w:spacing w:val="11"/>
        </w:rPr>
        <w:t>其他投资呈现逆差 。2024年，我国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其他投资逆差1498亿美元，其中货币和存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款净流出414亿美元、贷款净流出728亿美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元、贸易信贷净流出371亿美元。因境内银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行对外同业拆放和企业贸易应收款增加，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-3"/>
        </w:rPr>
        <w:t>境内对外其他投资净增加945亿美元。境内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吸收的境外其他投资负债净减少552亿美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"/>
        <w:spacing w:before="43" w:line="190" w:lineRule="auto"/>
        <w:rPr/>
      </w:pPr>
      <w:r>
        <w:rPr>
          <w:color w:val="231F20"/>
          <w:spacing w:val="-11"/>
        </w:rPr>
        <w:t>元，较2023年增长32%。</w:t>
      </w:r>
    </w:p>
    <w:p>
      <w:pPr>
        <w:pStyle w:val="BodyText"/>
        <w:ind w:right="282" w:firstLine="429"/>
        <w:spacing w:before="114" w:line="249" w:lineRule="auto"/>
        <w:jc w:val="both"/>
        <w:rPr/>
      </w:pPr>
      <w:r>
        <w:rPr>
          <w:color w:val="231F20"/>
          <w:spacing w:val="15"/>
        </w:rPr>
        <w:t>我 国对外金融资产和负债继续保持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增长态势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，对外净资产创历史新高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。2024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年末，我国对外金融资产约为10.2万亿美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元，年度首次突破10万亿美元，同比增长</w:t>
      </w:r>
      <w:r>
        <w:rPr>
          <w:color w:val="231F20"/>
          <w:spacing w:val="16"/>
          <w:w w:val="102"/>
        </w:rPr>
        <w:t xml:space="preserve"> </w:t>
      </w:r>
      <w:r>
        <w:rPr>
          <w:color w:val="231F20"/>
          <w:spacing w:val="-4"/>
        </w:rPr>
        <w:t>6.1%；对外负债约为6.9万亿美元，</w:t>
      </w:r>
      <w:r>
        <w:rPr>
          <w:color w:val="231F20"/>
          <w:spacing w:val="-5"/>
        </w:rPr>
        <w:t xml:space="preserve"> 同比增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长2.2%；对外净资产约为3.3万亿美</w:t>
      </w:r>
      <w:r>
        <w:rPr>
          <w:color w:val="231F20"/>
          <w:spacing w:val="-5"/>
        </w:rPr>
        <w:t>元， 同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比增长15.6%。近年来，随着我国对外开放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程度加深，我国对外非储备资产占比不断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增加。2024年末，对外非储备资产达6.8万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1"/>
        </w:rPr>
        <w:t>亿美元，同比增长9.5%，占我国对外金融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-4"/>
        </w:rPr>
        <w:t>资产总额的66%，较2023年末上升2个百分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点。我国对外负债中，来华直接投资约3.6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万亿美元，继续位列对外负债首位，占对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外负债的52%。来华证券投资约1.9万亿美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元，占对外负债的28%，较2023年末上升3</w:t>
      </w:r>
      <w:r>
        <w:rPr>
          <w:color w:val="231F20"/>
          <w:spacing w:val="14"/>
          <w:w w:val="102"/>
        </w:rPr>
        <w:t xml:space="preserve"> </w:t>
      </w:r>
      <w:r>
        <w:rPr>
          <w:color w:val="231F20"/>
          <w:spacing w:val="5"/>
        </w:rPr>
        <w:t>个百分点。存贷款、贸易信贷等其他投资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负债1.3万亿美元，占对外负债的19%，较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8"/>
        </w:rPr>
        <w:t>2023年末下降1.4个百分点。</w:t>
      </w:r>
    </w:p>
    <w:p>
      <w:pPr>
        <w:pStyle w:val="BodyText"/>
        <w:ind w:right="283" w:firstLine="427"/>
        <w:spacing w:before="11" w:line="253" w:lineRule="auto"/>
        <w:jc w:val="both"/>
        <w:rPr/>
      </w:pPr>
      <w:r>
        <w:rPr>
          <w:color w:val="231F20"/>
          <w:spacing w:val="2"/>
        </w:rPr>
        <w:t>2025年，外部环境更趋复杂严峻，世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界经济增长动能不足，地缘政治局势错综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复杂，国际金融市场波动风险加大。在此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背景下，我国加快构建新发展格局，实施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8"/>
        </w:rPr>
        <w:t>更加积极有为的宏观政策，推动经济持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续回升向好，国际收支有基础、有条件保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持基本平衡，跨境资本双向投资有望更趋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7"/>
        </w:rPr>
        <w:t>活跃。</w:t>
      </w:r>
    </w:p>
    <w:p>
      <w:pPr>
        <w:spacing w:line="253" w:lineRule="auto"/>
        <w:sectPr>
          <w:type w:val="continuous"/>
          <w:pgSz w:w="11906" w:h="16158"/>
          <w:pgMar w:top="1384" w:right="1417" w:bottom="400" w:left="1700" w:header="1061" w:footer="0" w:gutter="0"/>
          <w:cols w:equalWidth="0" w:num="2">
            <w:col w:w="4525" w:space="100"/>
            <w:col w:w="4163" w:space="0"/>
          </w:cols>
        </w:sectPr>
        <w:rPr/>
      </w:pPr>
    </w:p>
    <w:p>
      <w:pPr>
        <w:spacing w:before="227"/>
        <w:rPr/>
      </w:pPr>
      <w:r/>
    </w:p>
    <w:p>
      <w:pPr>
        <w:sectPr>
          <w:headerReference w:type="default" r:id="rId40"/>
          <w:pgSz w:w="11906" w:h="16158"/>
          <w:pgMar w:top="1367" w:right="1673" w:bottom="400" w:left="1417" w:header="1044" w:footer="0" w:gutter="0"/>
          <w:cols w:equalWidth="0" w:num="1">
            <w:col w:w="8815" w:space="0"/>
          </w:cols>
        </w:sectPr>
        <w:rPr/>
      </w:pPr>
    </w:p>
    <w:p>
      <w:pPr>
        <w:pStyle w:val="BodyText"/>
        <w:ind w:left="12" w:right="334" w:firstLine="405"/>
        <w:spacing w:before="49" w:line="236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9"/>
        </w:rPr>
        <w:t>（三）消费领域价格基本稳定，生</w:t>
      </w:r>
      <w:r>
        <w:rPr>
          <w:sz w:val="24"/>
          <w:szCs w:val="24"/>
          <w:color w:val="231F20"/>
          <w:spacing w:val="4"/>
        </w:rPr>
        <w:t xml:space="preserve"> </w:t>
      </w:r>
      <w:r>
        <w:rPr>
          <w:sz w:val="24"/>
          <w:szCs w:val="24"/>
          <w:color w:val="231F20"/>
          <w:spacing w:val="-2"/>
        </w:rPr>
        <w:t>产领域价格改善回升</w:t>
      </w:r>
    </w:p>
    <w:p>
      <w:pPr>
        <w:pStyle w:val="BodyText"/>
        <w:ind w:left="3" w:right="324" w:firstLine="425"/>
        <w:spacing w:before="110" w:line="249" w:lineRule="auto"/>
        <w:rPr/>
      </w:pP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color w:val="231F20"/>
          <w:spacing w:val="9"/>
        </w:rPr>
        <w:t>年， </w:t>
      </w:r>
      <w:r>
        <w:rPr>
          <w:rFonts w:ascii="Times New Roman" w:hAnsi="Times New Roman" w:eastAsia="Times New Roman" w:cs="Times New Roman"/>
          <w:color w:val="231F20"/>
        </w:rPr>
        <w:t>CPI</w:t>
      </w:r>
      <w:r>
        <w:rPr>
          <w:color w:val="231F20"/>
          <w:spacing w:val="9"/>
        </w:rPr>
        <w:t>同比上涨</w:t>
      </w:r>
      <w:r>
        <w:rPr>
          <w:rFonts w:ascii="Times New Roman" w:hAnsi="Times New Roman" w:eastAsia="Times New Roman" w:cs="Times New Roman"/>
          <w:color w:val="231F20"/>
          <w:spacing w:val="9"/>
        </w:rPr>
        <w:t>0.2%</w:t>
      </w:r>
      <w:r>
        <w:rPr>
          <w:color w:val="231F20"/>
          <w:spacing w:val="9"/>
        </w:rPr>
        <w:t>，涨幅与上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年持平，各季度同比分别持平、上涨</w:t>
      </w:r>
      <w:r>
        <w:rPr>
          <w:rFonts w:ascii="Times New Roman" w:hAnsi="Times New Roman" w:eastAsia="Times New Roman" w:cs="Times New Roman"/>
          <w:color w:val="231F20"/>
          <w:spacing w:val="5"/>
        </w:rPr>
        <w:t>0.3%</w:t>
      </w:r>
      <w:r>
        <w:rPr>
          <w:rFonts w:ascii="Times New Roman" w:hAnsi="Times New Roman" w:eastAsia="Times New Roman" w:cs="Times New Roman"/>
          <w:color w:val="231F20"/>
          <w:spacing w:val="-2"/>
        </w:rPr>
        <w:t xml:space="preserve"> </w:t>
      </w:r>
      <w:r>
        <w:rPr>
          <w:color w:val="231F20"/>
          <w:spacing w:val="5"/>
        </w:rPr>
        <w:t>、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上涨</w:t>
      </w:r>
      <w:r>
        <w:rPr>
          <w:rFonts w:ascii="Times New Roman" w:hAnsi="Times New Roman" w:eastAsia="Times New Roman" w:cs="Times New Roman"/>
          <w:color w:val="231F20"/>
          <w:spacing w:val="5"/>
        </w:rPr>
        <w:t>0.5%</w:t>
      </w:r>
      <w:r>
        <w:rPr>
          <w:color w:val="231F20"/>
          <w:spacing w:val="5"/>
        </w:rPr>
        <w:t>和上涨</w:t>
      </w:r>
      <w:r>
        <w:rPr>
          <w:rFonts w:ascii="Times New Roman" w:hAnsi="Times New Roman" w:eastAsia="Times New Roman" w:cs="Times New Roman"/>
          <w:color w:val="231F20"/>
          <w:spacing w:val="5"/>
        </w:rPr>
        <w:t>0.2%</w:t>
      </w:r>
      <w:r>
        <w:rPr>
          <w:color w:val="231F20"/>
          <w:spacing w:val="5"/>
        </w:rPr>
        <w:t>。分类别看，食品价格</w:t>
      </w:r>
      <w:r>
        <w:rPr>
          <w:color w:val="231F20"/>
          <w:spacing w:val="17"/>
          <w:w w:val="102"/>
        </w:rPr>
        <w:t xml:space="preserve"> </w:t>
      </w:r>
      <w:r>
        <w:rPr>
          <w:color w:val="231F20"/>
          <w:spacing w:val="14"/>
        </w:rPr>
        <w:t>同比下降</w:t>
      </w:r>
      <w:r>
        <w:rPr>
          <w:rFonts w:ascii="Times New Roman" w:hAnsi="Times New Roman" w:eastAsia="Times New Roman" w:cs="Times New Roman"/>
          <w:color w:val="231F20"/>
          <w:spacing w:val="14"/>
        </w:rPr>
        <w:t>0.6%</w:t>
      </w:r>
      <w:r>
        <w:rPr>
          <w:color w:val="231F20"/>
          <w:spacing w:val="14"/>
        </w:rPr>
        <w:t>，降幅较上年扩大</w:t>
      </w:r>
      <w:r>
        <w:rPr>
          <w:rFonts w:ascii="Times New Roman" w:hAnsi="Times New Roman" w:eastAsia="Times New Roman" w:cs="Times New Roman"/>
          <w:color w:val="231F20"/>
          <w:spacing w:val="14"/>
        </w:rPr>
        <w:t>0.3</w:t>
      </w:r>
      <w:r>
        <w:rPr>
          <w:color w:val="231F20"/>
          <w:spacing w:val="14"/>
        </w:rPr>
        <w:t>个百分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6"/>
        </w:rPr>
        <w:t>点；非食品价格同比上涨</w:t>
      </w:r>
      <w:r>
        <w:rPr>
          <w:rFonts w:ascii="Times New Roman" w:hAnsi="Times New Roman" w:eastAsia="Times New Roman" w:cs="Times New Roman"/>
          <w:color w:val="231F20"/>
          <w:spacing w:val="6"/>
        </w:rPr>
        <w:t>0.4%</w:t>
      </w:r>
      <w:r>
        <w:rPr>
          <w:color w:val="231F20"/>
          <w:spacing w:val="6"/>
        </w:rPr>
        <w:t>，涨幅与上年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6"/>
        </w:rPr>
        <w:t>基本持平；消费品价格同比下降</w:t>
      </w:r>
      <w:r>
        <w:rPr>
          <w:rFonts w:ascii="Times New Roman" w:hAnsi="Times New Roman" w:eastAsia="Times New Roman" w:cs="Times New Roman"/>
          <w:color w:val="231F20"/>
          <w:spacing w:val="6"/>
        </w:rPr>
        <w:t>0.1%</w:t>
      </w:r>
      <w:r>
        <w:rPr>
          <w:color w:val="231F20"/>
          <w:spacing w:val="6"/>
        </w:rPr>
        <w:t>，降幅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5"/>
        </w:rPr>
        <w:t>较上年收窄</w:t>
      </w:r>
      <w:r>
        <w:rPr>
          <w:rFonts w:ascii="Times New Roman" w:hAnsi="Times New Roman" w:eastAsia="Times New Roman" w:cs="Times New Roman"/>
          <w:color w:val="231F20"/>
          <w:spacing w:val="5"/>
        </w:rPr>
        <w:t>0.2</w:t>
      </w:r>
      <w:r>
        <w:rPr>
          <w:color w:val="231F20"/>
          <w:spacing w:val="5"/>
        </w:rPr>
        <w:t>个百分点；服务价格同比上涨</w:t>
      </w:r>
      <w:r>
        <w:rPr>
          <w:color w:val="231F20"/>
          <w:spacing w:val="1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0.7%</w:t>
      </w:r>
      <w:r>
        <w:rPr>
          <w:color w:val="231F20"/>
          <w:spacing w:val="4"/>
        </w:rPr>
        <w:t>，涨幅较上年回落</w:t>
      </w:r>
      <w:r>
        <w:rPr>
          <w:rFonts w:ascii="Times New Roman" w:hAnsi="Times New Roman" w:eastAsia="Times New Roman" w:cs="Times New Roman"/>
          <w:color w:val="231F20"/>
          <w:spacing w:val="4"/>
        </w:rPr>
        <w:t>0.3</w:t>
      </w:r>
      <w:r>
        <w:rPr>
          <w:color w:val="231F20"/>
          <w:spacing w:val="4"/>
        </w:rPr>
        <w:t>个百分点。剔除食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品和能源价格的核心</w:t>
      </w:r>
      <w:r>
        <w:rPr>
          <w:rFonts w:ascii="Times New Roman" w:hAnsi="Times New Roman" w:eastAsia="Times New Roman" w:cs="Times New Roman"/>
          <w:color w:val="231F20"/>
        </w:rPr>
        <w:t>CPI</w:t>
      </w:r>
      <w:r>
        <w:rPr>
          <w:color w:val="231F20"/>
          <w:spacing w:val="3"/>
        </w:rPr>
        <w:t>总体平稳，同比上涨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2"/>
        </w:rPr>
        <w:t>0.5%</w:t>
      </w:r>
      <w:r>
        <w:rPr>
          <w:color w:val="231F20"/>
          <w:spacing w:val="-2"/>
        </w:rPr>
        <w:t>，涨幅较上年回落</w:t>
      </w:r>
      <w:r>
        <w:rPr>
          <w:rFonts w:ascii="Times New Roman" w:hAnsi="Times New Roman" w:eastAsia="Times New Roman" w:cs="Times New Roman"/>
          <w:color w:val="231F20"/>
          <w:spacing w:val="-2"/>
        </w:rPr>
        <w:t>0.2</w:t>
      </w:r>
      <w:r>
        <w:rPr>
          <w:color w:val="231F20"/>
          <w:spacing w:val="-2"/>
        </w:rPr>
        <w:t>个百分点。</w:t>
      </w:r>
    </w:p>
    <w:p>
      <w:pPr>
        <w:pStyle w:val="BodyText"/>
        <w:ind w:left="3" w:right="324" w:firstLine="425"/>
        <w:spacing w:before="4" w:line="253" w:lineRule="auto"/>
        <w:rPr/>
      </w:pPr>
      <w:r>
        <w:rPr>
          <w:rFonts w:ascii="Times New Roman" w:hAnsi="Times New Roman" w:eastAsia="Times New Roman" w:cs="Times New Roman"/>
          <w:color w:val="231F20"/>
          <w:spacing w:val="31"/>
        </w:rPr>
        <w:t>2024</w:t>
      </w:r>
      <w:r>
        <w:rPr>
          <w:rFonts w:ascii="Times New Roman" w:hAnsi="Times New Roman" w:eastAsia="Times New Roman" w:cs="Times New Roman"/>
          <w:color w:val="231F20"/>
          <w:spacing w:val="6"/>
        </w:rPr>
        <w:t xml:space="preserve"> </w:t>
      </w:r>
      <w:r>
        <w:rPr>
          <w:color w:val="231F20"/>
          <w:spacing w:val="31"/>
        </w:rPr>
        <w:t>年，工业生产者出厂价格指数</w:t>
      </w:r>
      <w:r>
        <w:rPr>
          <w:color w:val="231F20"/>
        </w:rPr>
        <w:t xml:space="preserve"> </w:t>
      </w:r>
      <w:r>
        <w:rPr>
          <w:color w:val="231F20"/>
        </w:rPr>
        <w:t>（</w:t>
      </w:r>
      <w:r>
        <w:rPr>
          <w:rFonts w:ascii="Times New Roman" w:hAnsi="Times New Roman" w:eastAsia="Times New Roman" w:cs="Times New Roman"/>
          <w:color w:val="231F20"/>
        </w:rPr>
        <w:t>PPI</w:t>
      </w:r>
      <w:r>
        <w:rPr>
          <w:color w:val="231F20"/>
        </w:rPr>
        <w:t>）同比下降</w:t>
      </w:r>
      <w:r>
        <w:rPr>
          <w:rFonts w:ascii="Times New Roman" w:hAnsi="Times New Roman" w:eastAsia="Times New Roman" w:cs="Times New Roman"/>
          <w:color w:val="231F20"/>
        </w:rPr>
        <w:t>2.2%</w:t>
      </w:r>
      <w:r>
        <w:rPr>
          <w:color w:val="231F20"/>
        </w:rPr>
        <w:t>，降幅较上年收窄</w:t>
      </w:r>
      <w:r>
        <w:rPr>
          <w:rFonts w:ascii="Times New Roman" w:hAnsi="Times New Roman" w:eastAsia="Times New Roman" w:cs="Times New Roman"/>
          <w:color w:val="231F20"/>
        </w:rPr>
        <w:t>0.8</w:t>
      </w:r>
      <w:r>
        <w:rPr>
          <w:color w:val="231F20"/>
        </w:rPr>
        <w:t>个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百分点，各季度同比分别下降</w:t>
      </w:r>
      <w:r>
        <w:rPr>
          <w:rFonts w:ascii="Times New Roman" w:hAnsi="Times New Roman" w:eastAsia="Times New Roman" w:cs="Times New Roman"/>
          <w:color w:val="231F20"/>
          <w:spacing w:val="1"/>
        </w:rPr>
        <w:t>2.7%</w:t>
      </w:r>
      <w:r>
        <w:rPr>
          <w:rFonts w:ascii="Times New Roman" w:hAnsi="Times New Roman" w:eastAsia="Times New Roman" w:cs="Times New Roman"/>
          <w:color w:val="231F20"/>
          <w:spacing w:val="-3"/>
        </w:rPr>
        <w:t xml:space="preserve"> </w:t>
      </w:r>
      <w:r>
        <w:rPr>
          <w:color w:val="231F20"/>
          <w:spacing w:val="1"/>
        </w:rPr>
        <w:t>、</w:t>
      </w:r>
      <w:r>
        <w:rPr>
          <w:color w:val="231F20"/>
          <w:spacing w:val="-1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1.6%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  <w:spacing w:val="1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5"/>
        </w:rPr>
        <w:t>1.8%</w:t>
      </w:r>
      <w:r>
        <w:rPr>
          <w:color w:val="231F20"/>
          <w:spacing w:val="5"/>
        </w:rPr>
        <w:t>和</w:t>
      </w:r>
      <w:r>
        <w:rPr>
          <w:rFonts w:ascii="Times New Roman" w:hAnsi="Times New Roman" w:eastAsia="Times New Roman" w:cs="Times New Roman"/>
          <w:color w:val="231F20"/>
          <w:spacing w:val="5"/>
        </w:rPr>
        <w:t>2.6%</w:t>
      </w:r>
      <w:r>
        <w:rPr>
          <w:color w:val="231F20"/>
          <w:spacing w:val="5"/>
        </w:rPr>
        <w:t>。分类别看，生活资料价格同比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下降</w:t>
      </w:r>
      <w:r>
        <w:rPr>
          <w:rFonts w:ascii="Times New Roman" w:hAnsi="Times New Roman" w:eastAsia="Times New Roman" w:cs="Times New Roman"/>
          <w:color w:val="231F20"/>
          <w:spacing w:val="4"/>
        </w:rPr>
        <w:t>1.1%</w:t>
      </w:r>
      <w:r>
        <w:rPr>
          <w:color w:val="231F20"/>
          <w:spacing w:val="4"/>
        </w:rPr>
        <w:t>，降幅较上年扩大</w:t>
      </w:r>
      <w:r>
        <w:rPr>
          <w:rFonts w:ascii="Times New Roman" w:hAnsi="Times New Roman" w:eastAsia="Times New Roman" w:cs="Times New Roman"/>
          <w:color w:val="231F20"/>
          <w:spacing w:val="4"/>
        </w:rPr>
        <w:t>1.0</w:t>
      </w:r>
      <w:r>
        <w:rPr>
          <w:color w:val="231F20"/>
          <w:spacing w:val="4"/>
        </w:rPr>
        <w:t>个百分点；生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6"/>
        </w:rPr>
        <w:t>产资料价格同比下降</w:t>
      </w:r>
      <w:r>
        <w:rPr>
          <w:rFonts w:ascii="Times New Roman" w:hAnsi="Times New Roman" w:eastAsia="Times New Roman" w:cs="Times New Roman"/>
          <w:color w:val="231F20"/>
          <w:spacing w:val="6"/>
        </w:rPr>
        <w:t>2.5%</w:t>
      </w:r>
      <w:r>
        <w:rPr>
          <w:color w:val="231F20"/>
          <w:spacing w:val="6"/>
        </w:rPr>
        <w:t>，降幅较上年收窄</w:t>
      </w:r>
      <w:r>
        <w:rPr>
          <w:color w:val="231F20"/>
          <w:spacing w:val="1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1.3</w:t>
      </w:r>
      <w:r>
        <w:rPr>
          <w:color w:val="231F20"/>
          <w:spacing w:val="6"/>
        </w:rPr>
        <w:t>个百分点（见图</w:t>
      </w:r>
      <w:r>
        <w:rPr>
          <w:rFonts w:ascii="Times New Roman" w:hAnsi="Times New Roman" w:eastAsia="Times New Roman" w:cs="Times New Roman"/>
          <w:color w:val="231F20"/>
          <w:spacing w:val="6"/>
        </w:rPr>
        <w:t>1</w:t>
      </w:r>
      <w:r>
        <w:rPr>
          <w:color w:val="231F20"/>
          <w:spacing w:val="6"/>
        </w:rPr>
        <w:t>-</w:t>
      </w:r>
      <w:r>
        <w:rPr>
          <w:rFonts w:ascii="Times New Roman" w:hAnsi="Times New Roman" w:eastAsia="Times New Roman" w:cs="Times New Roman"/>
          <w:color w:val="231F20"/>
          <w:spacing w:val="6"/>
        </w:rPr>
        <w:t>10</w:t>
      </w:r>
      <w:r>
        <w:rPr>
          <w:color w:val="231F20"/>
          <w:spacing w:val="6"/>
        </w:rPr>
        <w:t>）。工业生产者购进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价格指数（</w:t>
      </w:r>
      <w:r>
        <w:rPr>
          <w:rFonts w:ascii="Times New Roman" w:hAnsi="Times New Roman" w:eastAsia="Times New Roman" w:cs="Times New Roman"/>
          <w:color w:val="231F20"/>
        </w:rPr>
        <w:t>PPIRM</w:t>
      </w:r>
      <w:r>
        <w:rPr>
          <w:color w:val="231F20"/>
          <w:spacing w:val="3"/>
        </w:rPr>
        <w:t>） 同比下降</w:t>
      </w:r>
      <w:r>
        <w:rPr>
          <w:rFonts w:ascii="Times New Roman" w:hAnsi="Times New Roman" w:eastAsia="Times New Roman" w:cs="Times New Roman"/>
          <w:color w:val="231F20"/>
          <w:spacing w:val="3"/>
        </w:rPr>
        <w:t>2.2%</w:t>
      </w:r>
      <w:r>
        <w:rPr>
          <w:color w:val="231F20"/>
          <w:spacing w:val="3"/>
        </w:rPr>
        <w:t>， 降幅较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上年收窄</w:t>
      </w:r>
      <w:r>
        <w:rPr>
          <w:rFonts w:ascii="Times New Roman" w:hAnsi="Times New Roman" w:eastAsia="Times New Roman" w:cs="Times New Roman"/>
          <w:color w:val="231F20"/>
          <w:spacing w:val="5"/>
        </w:rPr>
        <w:t>1.4</w:t>
      </w:r>
      <w:r>
        <w:rPr>
          <w:color w:val="231F20"/>
          <w:spacing w:val="5"/>
        </w:rPr>
        <w:t>个百分点，各季度同比分别下降</w:t>
      </w:r>
      <w:r>
        <w:rPr>
          <w:color w:val="231F20"/>
          <w:spacing w:val="1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6"/>
        </w:rPr>
        <w:t>3.4%</w:t>
      </w:r>
      <w:r>
        <w:rPr>
          <w:rFonts w:ascii="Times New Roman" w:hAnsi="Times New Roman" w:eastAsia="Times New Roman" w:cs="Times New Roman"/>
          <w:color w:val="231F20"/>
          <w:spacing w:val="-19"/>
        </w:rPr>
        <w:t xml:space="preserve"> </w:t>
      </w:r>
      <w:r>
        <w:rPr>
          <w:color w:val="231F20"/>
          <w:spacing w:val="-6"/>
        </w:rPr>
        <w:t>、</w:t>
      </w:r>
      <w:r>
        <w:rPr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6"/>
        </w:rPr>
        <w:t>1.7%</w:t>
      </w:r>
      <w:r>
        <w:rPr>
          <w:rFonts w:ascii="Times New Roman" w:hAnsi="Times New Roman" w:eastAsia="Times New Roman" w:cs="Times New Roman"/>
          <w:color w:val="231F20"/>
          <w:spacing w:val="-28"/>
        </w:rPr>
        <w:t xml:space="preserve"> </w:t>
      </w:r>
      <w:r>
        <w:rPr>
          <w:color w:val="231F20"/>
          <w:spacing w:val="-6"/>
        </w:rPr>
        <w:t>、</w:t>
      </w:r>
      <w:r>
        <w:rPr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6"/>
        </w:rPr>
        <w:t>1.0%</w:t>
      </w:r>
      <w:r>
        <w:rPr>
          <w:color w:val="231F20"/>
          <w:spacing w:val="-6"/>
        </w:rPr>
        <w:t>和</w:t>
      </w:r>
      <w:r>
        <w:rPr>
          <w:rFonts w:ascii="Times New Roman" w:hAnsi="Times New Roman" w:eastAsia="Times New Roman" w:cs="Times New Roman"/>
          <w:color w:val="231F20"/>
          <w:spacing w:val="-6"/>
        </w:rPr>
        <w:t>2.5%</w:t>
      </w:r>
      <w:r>
        <w:rPr>
          <w:color w:val="231F20"/>
          <w:spacing w:val="-6"/>
        </w:rPr>
        <w:t>。</w:t>
      </w:r>
    </w:p>
    <w:p>
      <w:pPr>
        <w:ind w:firstLine="48"/>
        <w:spacing w:before="105" w:line="2429" w:lineRule="exact"/>
        <w:rPr/>
      </w:pPr>
      <w:r>
        <w:rPr>
          <w:position w:val="-48"/>
        </w:rPr>
        <w:drawing>
          <wp:inline distT="0" distB="0" distL="0" distR="0">
            <wp:extent cx="2585034" cy="1542553"/>
            <wp:effectExtent l="0" t="0" r="0" b="0"/>
            <wp:docPr id="76" name="IM 76"/>
            <wp:cNvGraphicFramePr/>
            <a:graphic>
              <a:graphicData uri="http://schemas.openxmlformats.org/drawingml/2006/picture">
                <pic:pic>
                  <pic:nvPicPr>
                    <pic:cNvPr id="76" name="IM 7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5034" cy="1542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39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图1-10</w:t>
      </w:r>
      <w:r>
        <w:rPr>
          <w:sz w:val="18"/>
          <w:szCs w:val="18"/>
          <w:color w:val="231F20"/>
          <w:spacing w:val="10"/>
          <w:w w:val="101"/>
        </w:rPr>
        <w:t xml:space="preserve">    </w:t>
      </w:r>
      <w:r>
        <w:rPr>
          <w:sz w:val="18"/>
          <w:szCs w:val="18"/>
          <w:color w:val="231F20"/>
        </w:rPr>
        <w:t>主要物价指数月度同比走势</w:t>
      </w:r>
    </w:p>
    <w:p>
      <w:pPr>
        <w:pStyle w:val="BodyText"/>
        <w:ind w:left="995"/>
        <w:spacing w:before="29" w:line="202" w:lineRule="exact"/>
        <w:rPr>
          <w:sz w:val="18"/>
          <w:szCs w:val="18"/>
        </w:rPr>
      </w:pPr>
      <w:r>
        <w:rPr>
          <w:sz w:val="18"/>
          <w:szCs w:val="18"/>
          <w:color w:val="231F20"/>
          <w:spacing w:val="1"/>
          <w:position w:val="-1"/>
        </w:rPr>
        <w:t>（数据来源：国家统计局）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5" w:right="34" w:firstLine="410"/>
        <w:spacing w:before="45" w:line="235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9"/>
        </w:rPr>
        <w:t>（四）财政收入保持恢复性增长态</w:t>
      </w:r>
      <w:r>
        <w:rPr>
          <w:sz w:val="24"/>
          <w:szCs w:val="24"/>
          <w:color w:val="231F20"/>
          <w:spacing w:val="6"/>
        </w:rPr>
        <w:t xml:space="preserve"> </w:t>
      </w:r>
      <w:r>
        <w:rPr>
          <w:sz w:val="24"/>
          <w:szCs w:val="24"/>
          <w:color w:val="231F20"/>
          <w:spacing w:val="-1"/>
        </w:rPr>
        <w:t>势，重点领域支出得到有力保障</w:t>
      </w:r>
    </w:p>
    <w:p>
      <w:pPr>
        <w:pStyle w:val="BodyText"/>
        <w:ind w:left="34" w:right="27" w:firstLine="422"/>
        <w:spacing w:before="115" w:line="249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年，全国一般公共预算收入</w:t>
      </w:r>
      <w:r>
        <w:rPr>
          <w:rFonts w:ascii="Times New Roman" w:hAnsi="Times New Roman" w:eastAsia="Times New Roman" w:cs="Times New Roman"/>
          <w:color w:val="231F20"/>
          <w:spacing w:val="5"/>
        </w:rPr>
        <w:t>21.97</w:t>
      </w:r>
      <w:r>
        <w:rPr>
          <w:color w:val="231F20"/>
          <w:spacing w:val="5"/>
        </w:rPr>
        <w:t>万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7"/>
        </w:rPr>
        <w:t>亿元，同比增长</w:t>
      </w:r>
      <w:r>
        <w:rPr>
          <w:rFonts w:ascii="Times New Roman" w:hAnsi="Times New Roman" w:eastAsia="Times New Roman" w:cs="Times New Roman"/>
          <w:color w:val="231F20"/>
          <w:spacing w:val="7"/>
        </w:rPr>
        <w:t>1.4%</w:t>
      </w:r>
      <w:r>
        <w:rPr>
          <w:color w:val="231F20"/>
          <w:spacing w:val="7"/>
        </w:rPr>
        <w:t>。其中，中央一般公共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4"/>
        </w:rPr>
        <w:t>预算收入</w:t>
      </w:r>
      <w:r>
        <w:rPr>
          <w:rFonts w:ascii="Times New Roman" w:hAnsi="Times New Roman" w:eastAsia="Times New Roman" w:cs="Times New Roman"/>
          <w:color w:val="231F20"/>
          <w:spacing w:val="4"/>
        </w:rPr>
        <w:t>10.04</w:t>
      </w:r>
      <w:r>
        <w:rPr>
          <w:color w:val="231F20"/>
          <w:spacing w:val="4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0.9</w:t>
      </w:r>
      <w:r>
        <w:rPr>
          <w:rFonts w:ascii="Times New Roman" w:hAnsi="Times New Roman" w:eastAsia="Times New Roman" w:cs="Times New Roman"/>
          <w:color w:val="231F20"/>
          <w:spacing w:val="3"/>
        </w:rPr>
        <w:t>%</w:t>
      </w:r>
      <w:r>
        <w:rPr>
          <w:color w:val="231F20"/>
          <w:spacing w:val="3"/>
        </w:rPr>
        <w:t>，占全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国一般公共预算收入的</w:t>
      </w:r>
      <w:r>
        <w:rPr>
          <w:rFonts w:ascii="Times New Roman" w:hAnsi="Times New Roman" w:eastAsia="Times New Roman" w:cs="Times New Roman"/>
          <w:color w:val="231F20"/>
          <w:spacing w:val="2"/>
        </w:rPr>
        <w:t>45.7%</w:t>
      </w:r>
      <w:r>
        <w:rPr>
          <w:color w:val="231F20"/>
          <w:spacing w:val="2"/>
        </w:rPr>
        <w:t>；地方一般公共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预算本级收入</w:t>
      </w:r>
      <w:r>
        <w:rPr>
          <w:rFonts w:ascii="Times New Roman" w:hAnsi="Times New Roman" w:eastAsia="Times New Roman" w:cs="Times New Roman"/>
          <w:color w:val="231F20"/>
          <w:spacing w:val="4"/>
        </w:rPr>
        <w:t>11.93</w:t>
      </w:r>
      <w:r>
        <w:rPr>
          <w:color w:val="231F20"/>
          <w:spacing w:val="4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1.7%</w:t>
      </w:r>
      <w:r>
        <w:rPr>
          <w:color w:val="231F20"/>
          <w:spacing w:val="4"/>
        </w:rPr>
        <w:t>，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占全国一般公共预算收入的</w:t>
      </w:r>
      <w:r>
        <w:rPr>
          <w:rFonts w:ascii="Times New Roman" w:hAnsi="Times New Roman" w:eastAsia="Times New Roman" w:cs="Times New Roman"/>
          <w:color w:val="231F20"/>
          <w:spacing w:val="2"/>
        </w:rPr>
        <w:t>54.3%</w:t>
      </w:r>
      <w:r>
        <w:rPr>
          <w:color w:val="231F20"/>
          <w:spacing w:val="2"/>
        </w:rPr>
        <w:t>。从</w:t>
      </w:r>
      <w:r>
        <w:rPr>
          <w:color w:val="231F20"/>
          <w:spacing w:val="1"/>
        </w:rPr>
        <w:t>收入结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构看，税收收入</w:t>
      </w:r>
      <w:r>
        <w:rPr>
          <w:rFonts w:ascii="Times New Roman" w:hAnsi="Times New Roman" w:eastAsia="Times New Roman" w:cs="Times New Roman"/>
          <w:color w:val="231F20"/>
          <w:spacing w:val="5"/>
        </w:rPr>
        <w:t>17.50</w:t>
      </w:r>
      <w:r>
        <w:rPr>
          <w:color w:val="231F20"/>
          <w:spacing w:val="5"/>
        </w:rPr>
        <w:t>万亿元，占全国一般公 </w:t>
      </w:r>
      <w:r>
        <w:rPr>
          <w:color w:val="231F20"/>
          <w:spacing w:val="2"/>
        </w:rPr>
        <w:t>共预算收入的</w:t>
      </w:r>
      <w:r>
        <w:rPr>
          <w:rFonts w:ascii="Times New Roman" w:hAnsi="Times New Roman" w:eastAsia="Times New Roman" w:cs="Times New Roman"/>
          <w:color w:val="231F20"/>
          <w:spacing w:val="2"/>
        </w:rPr>
        <w:t>79.6%</w:t>
      </w:r>
      <w:r>
        <w:rPr>
          <w:color w:val="231F20"/>
          <w:spacing w:val="2"/>
        </w:rPr>
        <w:t>；非税收入</w:t>
      </w:r>
      <w:r>
        <w:rPr>
          <w:rFonts w:ascii="Times New Roman" w:hAnsi="Times New Roman" w:eastAsia="Times New Roman" w:cs="Times New Roman"/>
          <w:color w:val="231F20"/>
          <w:spacing w:val="2"/>
        </w:rPr>
        <w:t>4.47</w:t>
      </w:r>
      <w:r>
        <w:rPr>
          <w:color w:val="231F20"/>
          <w:spacing w:val="2"/>
        </w:rPr>
        <w:t>万亿元，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-1"/>
        </w:rPr>
        <w:t>占全国一般公共预算收入的</w:t>
      </w:r>
      <w:r>
        <w:rPr>
          <w:rFonts w:ascii="Times New Roman" w:hAnsi="Times New Roman" w:eastAsia="Times New Roman" w:cs="Times New Roman"/>
          <w:color w:val="231F20"/>
          <w:spacing w:val="-1"/>
        </w:rPr>
        <w:t>20.4%</w:t>
      </w:r>
      <w:r>
        <w:rPr>
          <w:color w:val="231F20"/>
          <w:spacing w:val="-1"/>
        </w:rPr>
        <w:t>。</w:t>
      </w:r>
    </w:p>
    <w:p>
      <w:pPr>
        <w:pStyle w:val="BodyText"/>
        <w:ind w:left="33" w:right="26" w:firstLine="424"/>
        <w:spacing w:before="3" w:line="254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年，全国一般公共预算支出</w:t>
      </w:r>
      <w:r>
        <w:rPr>
          <w:rFonts w:ascii="Times New Roman" w:hAnsi="Times New Roman" w:eastAsia="Times New Roman" w:cs="Times New Roman"/>
          <w:color w:val="231F20"/>
          <w:spacing w:val="5"/>
        </w:rPr>
        <w:t>28.46</w:t>
      </w:r>
      <w:r>
        <w:rPr>
          <w:color w:val="231F20"/>
          <w:spacing w:val="5"/>
        </w:rPr>
        <w:t>万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6"/>
        </w:rPr>
        <w:t>亿元，同比增长</w:t>
      </w:r>
      <w:r>
        <w:rPr>
          <w:rFonts w:ascii="Times New Roman" w:hAnsi="Times New Roman" w:eastAsia="Times New Roman" w:cs="Times New Roman"/>
          <w:color w:val="231F20"/>
          <w:spacing w:val="6"/>
        </w:rPr>
        <w:t>3.6%</w:t>
      </w:r>
      <w:r>
        <w:rPr>
          <w:color w:val="231F20"/>
          <w:spacing w:val="6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6"/>
        </w:rPr>
        <w:t>1</w:t>
      </w:r>
      <w:r>
        <w:rPr>
          <w:color w:val="231F20"/>
          <w:spacing w:val="6"/>
        </w:rPr>
        <w:t>-</w:t>
      </w:r>
      <w:r>
        <w:rPr>
          <w:rFonts w:ascii="Times New Roman" w:hAnsi="Times New Roman" w:eastAsia="Times New Roman" w:cs="Times New Roman"/>
          <w:color w:val="231F20"/>
          <w:spacing w:val="6"/>
        </w:rPr>
        <w:t>11</w:t>
      </w:r>
      <w:r>
        <w:rPr>
          <w:color w:val="231F20"/>
          <w:spacing w:val="6"/>
        </w:rPr>
        <w:t>）。其中，</w:t>
      </w:r>
      <w:r>
        <w:rPr>
          <w:color w:val="231F20"/>
          <w:spacing w:val="4"/>
        </w:rPr>
        <w:t xml:space="preserve">  </w:t>
      </w:r>
      <w:r>
        <w:rPr>
          <w:color w:val="231F20"/>
        </w:rPr>
        <w:t>中央一般公共预算本级支出</w:t>
      </w:r>
      <w:r>
        <w:rPr>
          <w:rFonts w:ascii="Times New Roman" w:hAnsi="Times New Roman" w:eastAsia="Times New Roman" w:cs="Times New Roman"/>
          <w:color w:val="231F20"/>
        </w:rPr>
        <w:t>4.07</w:t>
      </w:r>
      <w:r>
        <w:rPr>
          <w:color w:val="231F20"/>
        </w:rPr>
        <w:t>万亿元，同比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增长</w:t>
      </w:r>
      <w:r>
        <w:rPr>
          <w:rFonts w:ascii="Times New Roman" w:hAnsi="Times New Roman" w:eastAsia="Times New Roman" w:cs="Times New Roman"/>
          <w:color w:val="231F20"/>
          <w:spacing w:val="4"/>
        </w:rPr>
        <w:t>6.5%</w:t>
      </w:r>
      <w:r>
        <w:rPr>
          <w:color w:val="231F20"/>
          <w:spacing w:val="4"/>
        </w:rPr>
        <w:t>；地方一般公共预算支出</w:t>
      </w:r>
      <w:r>
        <w:rPr>
          <w:rFonts w:ascii="Times New Roman" w:hAnsi="Times New Roman" w:eastAsia="Times New Roman" w:cs="Times New Roman"/>
          <w:color w:val="231F20"/>
          <w:spacing w:val="4"/>
        </w:rPr>
        <w:t>24.39</w:t>
      </w:r>
      <w:r>
        <w:rPr>
          <w:color w:val="231F20"/>
          <w:spacing w:val="4"/>
        </w:rPr>
        <w:t>万亿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7"/>
        </w:rPr>
        <w:t>元，同比增长</w:t>
      </w:r>
      <w:r>
        <w:rPr>
          <w:rFonts w:ascii="Times New Roman" w:hAnsi="Times New Roman" w:eastAsia="Times New Roman" w:cs="Times New Roman"/>
          <w:color w:val="231F20"/>
          <w:spacing w:val="7"/>
        </w:rPr>
        <w:t>3.2%</w:t>
      </w:r>
      <w:r>
        <w:rPr>
          <w:color w:val="231F20"/>
          <w:spacing w:val="7"/>
        </w:rPr>
        <w:t>。从支出结构看，农林水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支出、城乡社区支出和科学技术支出增长较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快，分别同比增长</w:t>
      </w:r>
      <w:r>
        <w:rPr>
          <w:rFonts w:ascii="Times New Roman" w:hAnsi="Times New Roman" w:eastAsia="Times New Roman" w:cs="Times New Roman"/>
          <w:color w:val="231F20"/>
          <w:spacing w:val="-2"/>
        </w:rPr>
        <w:t>12.5%</w:t>
      </w:r>
      <w:r>
        <w:rPr>
          <w:rFonts w:ascii="Times New Roman" w:hAnsi="Times New Roman" w:eastAsia="Times New Roman" w:cs="Times New Roman"/>
          <w:color w:val="231F20"/>
          <w:spacing w:val="-11"/>
        </w:rPr>
        <w:t xml:space="preserve"> </w:t>
      </w:r>
      <w:r>
        <w:rPr>
          <w:color w:val="231F20"/>
          <w:spacing w:val="-2"/>
        </w:rPr>
        <w:t>、</w:t>
      </w:r>
      <w:r>
        <w:rPr>
          <w:rFonts w:ascii="Times New Roman" w:hAnsi="Times New Roman" w:eastAsia="Times New Roman" w:cs="Times New Roman"/>
          <w:color w:val="231F20"/>
          <w:spacing w:val="-2"/>
        </w:rPr>
        <w:t>5.9%</w:t>
      </w:r>
      <w:r>
        <w:rPr>
          <w:color w:val="231F20"/>
          <w:spacing w:val="-2"/>
        </w:rPr>
        <w:t>和</w:t>
      </w:r>
      <w:r>
        <w:rPr>
          <w:rFonts w:ascii="Times New Roman" w:hAnsi="Times New Roman" w:eastAsia="Times New Roman" w:cs="Times New Roman"/>
          <w:color w:val="231F20"/>
          <w:spacing w:val="-2"/>
        </w:rPr>
        <w:t>5.7%</w:t>
      </w:r>
      <w:r>
        <w:rPr>
          <w:color w:val="231F20"/>
          <w:spacing w:val="-2"/>
        </w:rPr>
        <w:t>。</w:t>
      </w:r>
    </w:p>
    <w:p>
      <w:pPr>
        <w:pStyle w:val="BodyText"/>
        <w:ind w:left="234"/>
        <w:spacing w:before="168" w:line="133" w:lineRule="exact"/>
        <w:rPr>
          <w:sz w:val="13"/>
          <w:szCs w:val="13"/>
        </w:rPr>
      </w:pPr>
      <w:r>
        <w:rPr>
          <w:rFonts w:ascii="DejaVu Sans" w:hAnsi="DejaVu Sans" w:eastAsia="DejaVu Sans" w:cs="DejaVu Sans"/>
          <w:sz w:val="13"/>
          <w:szCs w:val="13"/>
          <w:color w:val="EE4256"/>
          <w:spacing w:val="6"/>
          <w:position w:val="-1"/>
        </w:rPr>
        <w:t>——</w:t>
      </w:r>
      <w:r>
        <w:rPr>
          <w:rFonts w:ascii="DejaVu Sans" w:hAnsi="DejaVu Sans" w:eastAsia="DejaVu Sans" w:cs="DejaVu Sans"/>
          <w:sz w:val="13"/>
          <w:szCs w:val="13"/>
          <w:color w:val="EE4256"/>
          <w:spacing w:val="-5"/>
          <w:position w:val="-1"/>
        </w:rPr>
        <w:t xml:space="preserve"> </w:t>
      </w:r>
      <w:r>
        <w:rPr>
          <w:sz w:val="13"/>
          <w:szCs w:val="13"/>
          <w:color w:val="231F20"/>
          <w:spacing w:val="6"/>
          <w:position w:val="-1"/>
        </w:rPr>
        <w:t>一般公共预算收入同比</w:t>
      </w:r>
      <w:r>
        <w:rPr>
          <w:sz w:val="13"/>
          <w:szCs w:val="13"/>
          <w:color w:val="231F20"/>
          <w:spacing w:val="6"/>
          <w:position w:val="-1"/>
        </w:rPr>
        <w:t xml:space="preserve">       </w:t>
      </w:r>
      <w:r>
        <w:rPr>
          <w:rFonts w:ascii="DejaVu Sans" w:hAnsi="DejaVu Sans" w:eastAsia="DejaVu Sans" w:cs="DejaVu Sans"/>
          <w:sz w:val="13"/>
          <w:szCs w:val="13"/>
          <w:color w:val="4E86C6"/>
          <w:spacing w:val="6"/>
          <w:position w:val="-1"/>
        </w:rPr>
        <w:t>——</w:t>
      </w:r>
      <w:r>
        <w:rPr>
          <w:rFonts w:ascii="DejaVu Sans" w:hAnsi="DejaVu Sans" w:eastAsia="DejaVu Sans" w:cs="DejaVu Sans"/>
          <w:sz w:val="13"/>
          <w:szCs w:val="13"/>
          <w:color w:val="4E86C6"/>
          <w:spacing w:val="-15"/>
          <w:position w:val="-1"/>
        </w:rPr>
        <w:t xml:space="preserve"> </w:t>
      </w:r>
      <w:r>
        <w:rPr>
          <w:sz w:val="13"/>
          <w:szCs w:val="13"/>
          <w:color w:val="231F20"/>
          <w:spacing w:val="6"/>
          <w:position w:val="-1"/>
        </w:rPr>
        <w:t>一般公共预算支出同比</w:t>
      </w:r>
    </w:p>
    <w:p>
      <w:pPr>
        <w:pStyle w:val="BodyText"/>
        <w:spacing w:line="261" w:lineRule="auto"/>
        <w:rPr/>
      </w:pPr>
      <w:r>
        <w:drawing>
          <wp:anchor distT="0" distB="0" distL="0" distR="0" simplePos="0" relativeHeight="251739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43294</wp:posOffset>
            </wp:positionV>
            <wp:extent cx="2543193" cy="1467605"/>
            <wp:effectExtent l="0" t="0" r="0" b="0"/>
            <wp:wrapNone/>
            <wp:docPr id="78" name="IM 78"/>
            <wp:cNvGraphicFramePr/>
            <a:graphic>
              <a:graphicData uri="http://schemas.openxmlformats.org/drawingml/2006/picture">
                <pic:pic>
                  <pic:nvPicPr>
                    <pic:cNvPr id="78" name="IM 7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3193" cy="146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1" w:lineRule="auto"/>
        <w:rPr/>
      </w:pPr>
      <w:r/>
    </w:p>
    <w:p>
      <w:pPr>
        <w:pStyle w:val="BodyText"/>
        <w:spacing w:line="262" w:lineRule="auto"/>
        <w:rPr/>
      </w:pPr>
      <w:r/>
    </w:p>
    <w:p>
      <w:pPr>
        <w:pStyle w:val="BodyText"/>
        <w:spacing w:before="64" w:line="131" w:lineRule="exact"/>
        <w:jc w:val="right"/>
        <w:rPr>
          <w:sz w:val="13"/>
          <w:szCs w:val="13"/>
        </w:rPr>
      </w:pPr>
      <w:r>
        <w:rPr>
          <w:sz w:val="13"/>
          <w:szCs w:val="13"/>
          <w:color w:val="231F20"/>
          <w:position w:val="-1"/>
        </w:rPr>
        <w:t>年</w:t>
      </w:r>
    </w:p>
    <w:p>
      <w:pPr>
        <w:pStyle w:val="BodyText"/>
        <w:ind w:left="757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图1-11</w:t>
      </w:r>
      <w:r>
        <w:rPr>
          <w:sz w:val="18"/>
          <w:szCs w:val="18"/>
          <w:color w:val="231F20"/>
          <w:spacing w:val="6"/>
        </w:rPr>
        <w:t xml:space="preserve">    </w:t>
      </w:r>
      <w:r>
        <w:rPr>
          <w:sz w:val="18"/>
          <w:szCs w:val="18"/>
          <w:color w:val="231F20"/>
          <w:spacing w:val="1"/>
        </w:rPr>
        <w:t>财政收入和支出增长情况</w:t>
      </w:r>
    </w:p>
    <w:p>
      <w:pPr>
        <w:pStyle w:val="BodyText"/>
        <w:ind w:left="1203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（数据来源：财政部）</w:t>
      </w:r>
    </w:p>
    <w:p>
      <w:pPr>
        <w:pStyle w:val="BodyText"/>
        <w:ind w:left="35" w:right="34" w:firstLine="409"/>
        <w:spacing w:before="189" w:line="237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9"/>
        </w:rPr>
        <w:t>（五）工业企业经营保持平稳，营</w:t>
      </w:r>
      <w:r>
        <w:rPr>
          <w:sz w:val="24"/>
          <w:szCs w:val="24"/>
          <w:color w:val="231F20"/>
          <w:spacing w:val="6"/>
        </w:rPr>
        <w:t xml:space="preserve"> </w:t>
      </w:r>
      <w:r>
        <w:rPr>
          <w:sz w:val="24"/>
          <w:szCs w:val="24"/>
          <w:color w:val="231F20"/>
          <w:spacing w:val="-2"/>
        </w:rPr>
        <w:t>业收入持续增长</w:t>
      </w:r>
    </w:p>
    <w:p>
      <w:pPr>
        <w:pStyle w:val="BodyText"/>
        <w:ind w:right="29"/>
        <w:spacing w:before="102" w:line="242" w:lineRule="exact"/>
        <w:jc w:val="right"/>
        <w:rPr/>
      </w:pP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年，全国规模以上工业企业实现营</w:t>
      </w:r>
    </w:p>
    <w:p>
      <w:pPr>
        <w:spacing w:line="242" w:lineRule="exact"/>
        <w:sectPr>
          <w:type w:val="continuous"/>
          <w:pgSz w:w="11906" w:h="16158"/>
          <w:pgMar w:top="1367" w:right="1673" w:bottom="400" w:left="1417" w:header="1044" w:footer="0" w:gutter="0"/>
          <w:cols w:equalWidth="0" w:num="2">
            <w:col w:w="4493" w:space="100"/>
            <w:col w:w="4223" w:space="0"/>
          </w:cols>
        </w:sectPr>
        <w:rPr/>
      </w:pPr>
    </w:p>
    <w:p>
      <w:pPr>
        <w:spacing w:before="147"/>
        <w:rPr/>
      </w:pPr>
      <w:r/>
    </w:p>
    <w:p>
      <w:pPr>
        <w:sectPr>
          <w:headerReference w:type="default" r:id="rId43"/>
          <w:pgSz w:w="11906" w:h="16158"/>
          <w:pgMar w:top="1384" w:right="1416" w:bottom="400" w:left="1703" w:header="1061" w:footer="0" w:gutter="0"/>
          <w:cols w:equalWidth="0" w:num="1">
            <w:col w:w="8786" w:space="0"/>
          </w:cols>
        </w:sectPr>
        <w:rPr/>
      </w:pPr>
    </w:p>
    <w:p>
      <w:pPr>
        <w:pStyle w:val="BodyText"/>
        <w:ind w:left="2" w:right="358"/>
        <w:spacing w:before="45" w:line="256" w:lineRule="auto"/>
        <w:rPr/>
      </w:pPr>
      <w:r>
        <w:rPr>
          <w:color w:val="231F20"/>
          <w:spacing w:val="-1"/>
        </w:rPr>
        <w:t>业收入</w:t>
      </w:r>
      <w:r>
        <w:rPr>
          <w:rFonts w:ascii="Times New Roman" w:hAnsi="Times New Roman" w:eastAsia="Times New Roman" w:cs="Times New Roman"/>
          <w:color w:val="231F20"/>
          <w:spacing w:val="-1"/>
        </w:rPr>
        <w:t>137.77</w:t>
      </w:r>
      <w:r>
        <w:rPr>
          <w:color w:val="231F20"/>
          <w:spacing w:val="-1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2.1%</w:t>
      </w:r>
      <w:r>
        <w:rPr>
          <w:color w:val="231F20"/>
          <w:spacing w:val="-1"/>
        </w:rPr>
        <w:t>；发生营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业成本</w:t>
      </w:r>
      <w:r>
        <w:rPr>
          <w:rFonts w:ascii="Times New Roman" w:hAnsi="Times New Roman" w:eastAsia="Times New Roman" w:cs="Times New Roman"/>
          <w:color w:val="231F20"/>
          <w:spacing w:val="-1"/>
        </w:rPr>
        <w:t>117.31</w:t>
      </w:r>
      <w:r>
        <w:rPr>
          <w:color w:val="231F20"/>
          <w:spacing w:val="-1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2.5%</w:t>
      </w:r>
      <w:r>
        <w:rPr>
          <w:color w:val="231F20"/>
          <w:spacing w:val="-1"/>
        </w:rPr>
        <w:t>；实现利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润总额</w:t>
      </w:r>
      <w:r>
        <w:rPr>
          <w:rFonts w:ascii="Times New Roman" w:hAnsi="Times New Roman" w:eastAsia="Times New Roman" w:cs="Times New Roman"/>
          <w:color w:val="231F20"/>
          <w:spacing w:val="-1"/>
        </w:rPr>
        <w:t>7.43</w:t>
      </w:r>
      <w:r>
        <w:rPr>
          <w:color w:val="231F20"/>
          <w:spacing w:val="-1"/>
        </w:rPr>
        <w:t>万亿元，同比下降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3.3%</w:t>
      </w:r>
      <w:r>
        <w:rPr>
          <w:color w:val="231F20"/>
          <w:spacing w:val="-1"/>
        </w:rPr>
        <w:t>；营业收入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3"/>
        </w:rPr>
        <w:t>利润率为</w:t>
      </w:r>
      <w:r>
        <w:rPr>
          <w:rFonts w:ascii="Times New Roman" w:hAnsi="Times New Roman" w:eastAsia="Times New Roman" w:cs="Times New Roman"/>
          <w:color w:val="231F20"/>
          <w:spacing w:val="3"/>
        </w:rPr>
        <w:t>5.39%</w:t>
      </w:r>
      <w:r>
        <w:rPr>
          <w:color w:val="231F20"/>
          <w:spacing w:val="3"/>
        </w:rPr>
        <w:t>，较上年降低</w:t>
      </w:r>
      <w:r>
        <w:rPr>
          <w:rFonts w:ascii="Times New Roman" w:hAnsi="Times New Roman" w:eastAsia="Times New Roman" w:cs="Times New Roman"/>
          <w:color w:val="231F20"/>
          <w:spacing w:val="3"/>
        </w:rPr>
        <w:t>0.30</w:t>
      </w:r>
      <w:r>
        <w:rPr>
          <w:color w:val="231F20"/>
          <w:spacing w:val="3"/>
        </w:rPr>
        <w:t>个百</w:t>
      </w:r>
      <w:r>
        <w:rPr>
          <w:color w:val="231F20"/>
          <w:spacing w:val="2"/>
        </w:rPr>
        <w:t>分点。</w:t>
      </w:r>
      <w:r>
        <w:rPr>
          <w:color w:val="231F20"/>
        </w:rPr>
        <w:t xml:space="preserve">  </w:t>
      </w:r>
      <w:r>
        <w:rPr>
          <w:color w:val="231F20"/>
          <w:spacing w:val="8"/>
        </w:rPr>
        <w:t>在</w:t>
      </w:r>
      <w:r>
        <w:rPr>
          <w:rFonts w:ascii="Times New Roman" w:hAnsi="Times New Roman" w:eastAsia="Times New Roman" w:cs="Times New Roman"/>
          <w:color w:val="231F20"/>
          <w:spacing w:val="8"/>
        </w:rPr>
        <w:t>41</w:t>
      </w:r>
      <w:r>
        <w:rPr>
          <w:color w:val="231F20"/>
          <w:spacing w:val="8"/>
        </w:rPr>
        <w:t>个工业大类行业中，有</w:t>
      </w:r>
      <w:r>
        <w:rPr>
          <w:rFonts w:ascii="Times New Roman" w:hAnsi="Times New Roman" w:eastAsia="Times New Roman" w:cs="Times New Roman"/>
          <w:color w:val="231F20"/>
          <w:spacing w:val="8"/>
        </w:rPr>
        <w:t>23</w:t>
      </w:r>
      <w:r>
        <w:rPr>
          <w:color w:val="231F20"/>
          <w:spacing w:val="8"/>
        </w:rPr>
        <w:t>个行业的利润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总额较上年增长。</w:t>
      </w:r>
    </w:p>
    <w:p>
      <w:pPr>
        <w:pStyle w:val="BodyText"/>
        <w:ind w:left="19" w:right="365" w:firstLine="395"/>
        <w:spacing w:before="104" w:line="237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9"/>
        </w:rPr>
        <w:t>（六）就业形势总体稳定，城乡居</w:t>
      </w:r>
      <w:r>
        <w:rPr>
          <w:sz w:val="24"/>
          <w:szCs w:val="24"/>
          <w:color w:val="231F20"/>
          <w:spacing w:val="5"/>
        </w:rPr>
        <w:t xml:space="preserve"> </w:t>
      </w:r>
      <w:r>
        <w:rPr>
          <w:sz w:val="24"/>
          <w:szCs w:val="24"/>
          <w:color w:val="231F20"/>
          <w:spacing w:val="-3"/>
        </w:rPr>
        <w:t>民收入差距进一步缩小</w:t>
      </w:r>
    </w:p>
    <w:p>
      <w:pPr>
        <w:pStyle w:val="BodyText"/>
        <w:ind w:left="1" w:right="358" w:firstLine="425"/>
        <w:spacing w:before="101" w:line="253" w:lineRule="auto"/>
        <w:rPr/>
      </w:pPr>
      <w:r>
        <w:rPr>
          <w:rFonts w:ascii="Times New Roman" w:hAnsi="Times New Roman" w:eastAsia="Times New Roman" w:cs="Times New Roman"/>
          <w:color w:val="231F20"/>
          <w:spacing w:val="6"/>
        </w:rPr>
        <w:t>2024</w:t>
      </w:r>
      <w:r>
        <w:rPr>
          <w:color w:val="231F20"/>
          <w:spacing w:val="6"/>
        </w:rPr>
        <w:t>年，全国城镇新增就业</w:t>
      </w:r>
      <w:r>
        <w:rPr>
          <w:rFonts w:ascii="Times New Roman" w:hAnsi="Times New Roman" w:eastAsia="Times New Roman" w:cs="Times New Roman"/>
          <w:color w:val="231F20"/>
          <w:spacing w:val="6"/>
        </w:rPr>
        <w:t>1256</w:t>
      </w:r>
      <w:r>
        <w:rPr>
          <w:color w:val="231F20"/>
          <w:spacing w:val="6"/>
        </w:rPr>
        <w:t>万人，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8"/>
        </w:rPr>
        <w:t>较上年多增</w:t>
      </w:r>
      <w:r>
        <w:rPr>
          <w:rFonts w:ascii="Times New Roman" w:hAnsi="Times New Roman" w:eastAsia="Times New Roman" w:cs="Times New Roman"/>
          <w:color w:val="231F20"/>
          <w:spacing w:val="8"/>
        </w:rPr>
        <w:t>12</w:t>
      </w:r>
      <w:r>
        <w:rPr>
          <w:color w:val="231F20"/>
          <w:spacing w:val="8"/>
        </w:rPr>
        <w:t>万人；全年全国城镇调查失业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率平均值为</w:t>
      </w:r>
      <w:r>
        <w:rPr>
          <w:rFonts w:ascii="Times New Roman" w:hAnsi="Times New Roman" w:eastAsia="Times New Roman" w:cs="Times New Roman"/>
          <w:color w:val="231F20"/>
          <w:spacing w:val="2"/>
        </w:rPr>
        <w:t>5.1%</w:t>
      </w:r>
      <w:r>
        <w:rPr>
          <w:color w:val="231F20"/>
          <w:spacing w:val="2"/>
        </w:rPr>
        <w:t>，较上年降低</w:t>
      </w:r>
      <w:r>
        <w:rPr>
          <w:rFonts w:ascii="Times New Roman" w:hAnsi="Times New Roman" w:eastAsia="Times New Roman" w:cs="Times New Roman"/>
          <w:color w:val="231F20"/>
          <w:spacing w:val="2"/>
        </w:rPr>
        <w:t>0.1</w:t>
      </w:r>
      <w:r>
        <w:rPr>
          <w:color w:val="231F20"/>
          <w:spacing w:val="2"/>
        </w:rPr>
        <w:t>个百分点；</w:t>
      </w:r>
      <w:r>
        <w:rPr>
          <w:color w:val="231F20"/>
          <w:spacing w:val="9"/>
        </w:rPr>
        <w:t xml:space="preserve">  </w:t>
      </w:r>
      <w:r>
        <w:rPr>
          <w:color w:val="231F20"/>
          <w:spacing w:val="7"/>
        </w:rPr>
        <w:t>年末全国城镇调查失业率为</w:t>
      </w:r>
      <w:r>
        <w:rPr>
          <w:rFonts w:ascii="Times New Roman" w:hAnsi="Times New Roman" w:eastAsia="Times New Roman" w:cs="Times New Roman"/>
          <w:color w:val="231F20"/>
          <w:spacing w:val="7"/>
        </w:rPr>
        <w:t>5.1%</w:t>
      </w:r>
      <w:r>
        <w:rPr>
          <w:color w:val="231F20"/>
          <w:spacing w:val="7"/>
        </w:rPr>
        <w:t>，与上年末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持平。全国居民人均可支配收入</w:t>
      </w:r>
      <w:r>
        <w:rPr>
          <w:rFonts w:ascii="Times New Roman" w:hAnsi="Times New Roman" w:eastAsia="Times New Roman" w:cs="Times New Roman"/>
          <w:color w:val="231F20"/>
          <w:spacing w:val="3"/>
        </w:rPr>
        <w:t>41314</w:t>
      </w:r>
      <w:r>
        <w:rPr>
          <w:color w:val="231F20"/>
          <w:spacing w:val="3"/>
        </w:rPr>
        <w:t>元，扣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除价格因素实际增长</w:t>
      </w:r>
      <w:r>
        <w:rPr>
          <w:rFonts w:ascii="Times New Roman" w:hAnsi="Times New Roman" w:eastAsia="Times New Roman" w:cs="Times New Roman"/>
          <w:color w:val="231F20"/>
          <w:spacing w:val="6"/>
        </w:rPr>
        <w:t>5.1%</w:t>
      </w:r>
      <w:r>
        <w:rPr>
          <w:color w:val="231F20"/>
          <w:spacing w:val="6"/>
        </w:rPr>
        <w:t>。其中，城镇居民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10"/>
        </w:rPr>
        <w:t>人均可支配收入</w:t>
      </w:r>
      <w:r>
        <w:rPr>
          <w:rFonts w:ascii="Times New Roman" w:hAnsi="Times New Roman" w:eastAsia="Times New Roman" w:cs="Times New Roman"/>
          <w:color w:val="231F20"/>
          <w:spacing w:val="10"/>
        </w:rPr>
        <w:t>54188</w:t>
      </w:r>
      <w:r>
        <w:rPr>
          <w:color w:val="231F20"/>
          <w:spacing w:val="10"/>
        </w:rPr>
        <w:t>元，实际增长</w:t>
      </w:r>
      <w:r>
        <w:rPr>
          <w:rFonts w:ascii="Times New Roman" w:hAnsi="Times New Roman" w:eastAsia="Times New Roman" w:cs="Times New Roman"/>
          <w:color w:val="231F20"/>
          <w:spacing w:val="10"/>
        </w:rPr>
        <w:t>4.4%</w:t>
      </w:r>
      <w:r>
        <w:rPr>
          <w:color w:val="231F20"/>
          <w:spacing w:val="10"/>
        </w:rPr>
        <w:t>；</w:t>
      </w:r>
      <w:r>
        <w:rPr>
          <w:color w:val="231F20"/>
          <w:spacing w:val="15"/>
          <w:w w:val="102"/>
        </w:rPr>
        <w:t xml:space="preserve"> </w:t>
      </w:r>
      <w:r>
        <w:rPr>
          <w:color w:val="231F20"/>
          <w:spacing w:val="3"/>
        </w:rPr>
        <w:t>农村居民人均可支配收入</w:t>
      </w:r>
      <w:r>
        <w:rPr>
          <w:rFonts w:ascii="Times New Roman" w:hAnsi="Times New Roman" w:eastAsia="Times New Roman" w:cs="Times New Roman"/>
          <w:color w:val="231F20"/>
          <w:spacing w:val="3"/>
        </w:rPr>
        <w:t>23119</w:t>
      </w:r>
      <w:r>
        <w:rPr>
          <w:color w:val="231F20"/>
          <w:spacing w:val="3"/>
        </w:rPr>
        <w:t>元，实际增长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6.3%</w:t>
      </w:r>
      <w:r>
        <w:rPr>
          <w:color w:val="231F20"/>
          <w:spacing w:val="-1"/>
        </w:rPr>
        <w:t>。城乡居民人均收入倍差为</w:t>
      </w:r>
      <w:r>
        <w:rPr>
          <w:rFonts w:ascii="Times New Roman" w:hAnsi="Times New Roman" w:eastAsia="Times New Roman" w:cs="Times New Roman"/>
          <w:color w:val="231F20"/>
          <w:spacing w:val="-1"/>
        </w:rPr>
        <w:t>2.34</w:t>
      </w:r>
      <w:r>
        <w:rPr>
          <w:color w:val="231F20"/>
          <w:spacing w:val="-1"/>
        </w:rPr>
        <w:t>，较上年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缩小</w:t>
      </w:r>
      <w:r>
        <w:rPr>
          <w:rFonts w:ascii="Times New Roman" w:hAnsi="Times New Roman" w:eastAsia="Times New Roman" w:cs="Times New Roman"/>
          <w:color w:val="231F20"/>
          <w:spacing w:val="1"/>
        </w:rPr>
        <w:t>0.05</w:t>
      </w:r>
      <w:r>
        <w:rPr>
          <w:color w:val="231F20"/>
          <w:spacing w:val="1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1"/>
        </w:rPr>
        <w:t>1</w:t>
      </w:r>
      <w:r>
        <w:rPr>
          <w:color w:val="231F20"/>
          <w:spacing w:val="1"/>
        </w:rPr>
        <w:t>-</w:t>
      </w:r>
      <w:r>
        <w:rPr>
          <w:rFonts w:ascii="Times New Roman" w:hAnsi="Times New Roman" w:eastAsia="Times New Roman" w:cs="Times New Roman"/>
          <w:color w:val="231F20"/>
          <w:spacing w:val="1"/>
        </w:rPr>
        <w:t>12</w:t>
      </w:r>
      <w:r>
        <w:rPr>
          <w:color w:val="231F20"/>
          <w:spacing w:val="1"/>
        </w:rPr>
        <w:t>）。</w:t>
      </w:r>
    </w:p>
    <w:p>
      <w:pPr>
        <w:pStyle w:val="BodyText"/>
        <w:ind w:left="888"/>
        <w:spacing w:before="393" w:line="130" w:lineRule="exact"/>
        <w:rPr>
          <w:sz w:val="12"/>
          <w:szCs w:val="12"/>
        </w:rPr>
      </w:pPr>
      <w:r>
        <w:rPr>
          <w:rFonts w:ascii="DejaVu Sans" w:hAnsi="DejaVu Sans" w:eastAsia="DejaVu Sans" w:cs="DejaVu Sans"/>
          <w:sz w:val="12"/>
          <w:szCs w:val="12"/>
          <w:color w:val="EE4256"/>
          <w:spacing w:val="19"/>
          <w:position w:val="-1"/>
        </w:rPr>
        <w:t>——</w:t>
      </w:r>
      <w:r>
        <w:rPr>
          <w:rFonts w:ascii="DejaVu Sans" w:hAnsi="DejaVu Sans" w:eastAsia="DejaVu Sans" w:cs="DejaVu Sans"/>
          <w:sz w:val="12"/>
          <w:szCs w:val="12"/>
          <w:color w:val="EE4256"/>
          <w:spacing w:val="-17"/>
          <w:position w:val="-1"/>
        </w:rPr>
        <w:t xml:space="preserve"> </w:t>
      </w:r>
      <w:r>
        <w:rPr>
          <w:sz w:val="12"/>
          <w:szCs w:val="12"/>
          <w:color w:val="231F20"/>
          <w:spacing w:val="19"/>
          <w:position w:val="-1"/>
        </w:rPr>
        <w:t>实际</w:t>
      </w:r>
      <w:r>
        <w:rPr>
          <w:sz w:val="12"/>
          <w:szCs w:val="12"/>
          <w:color w:val="231F20"/>
          <w:position w:val="-1"/>
        </w:rPr>
        <w:t>GDP</w:t>
      </w:r>
      <w:r>
        <w:rPr>
          <w:sz w:val="12"/>
          <w:szCs w:val="12"/>
          <w:color w:val="231F20"/>
          <w:spacing w:val="19"/>
          <w:position w:val="-1"/>
        </w:rPr>
        <w:t>同比增速</w:t>
      </w:r>
    </w:p>
    <w:p>
      <w:pPr>
        <w:pStyle w:val="BodyText"/>
        <w:ind w:left="888"/>
        <w:spacing w:before="55" w:line="131" w:lineRule="exact"/>
        <w:rPr>
          <w:sz w:val="13"/>
          <w:szCs w:val="13"/>
        </w:rPr>
      </w:pPr>
      <w:r>
        <w:rPr>
          <w:rFonts w:ascii="DejaVu Sans" w:hAnsi="DejaVu Sans" w:eastAsia="DejaVu Sans" w:cs="DejaVu Sans"/>
          <w:sz w:val="13"/>
          <w:szCs w:val="13"/>
          <w:color w:val="4E86C6"/>
          <w:spacing w:val="7"/>
          <w:position w:val="-1"/>
        </w:rPr>
        <w:t>——</w:t>
      </w:r>
      <w:r>
        <w:rPr>
          <w:rFonts w:ascii="DejaVu Sans" w:hAnsi="DejaVu Sans" w:eastAsia="DejaVu Sans" w:cs="DejaVu Sans"/>
          <w:sz w:val="13"/>
          <w:szCs w:val="13"/>
          <w:color w:val="4E86C6"/>
          <w:spacing w:val="-4"/>
          <w:position w:val="-1"/>
        </w:rPr>
        <w:t xml:space="preserve"> </w:t>
      </w:r>
      <w:r>
        <w:rPr>
          <w:sz w:val="13"/>
          <w:szCs w:val="13"/>
          <w:color w:val="231F20"/>
          <w:spacing w:val="7"/>
          <w:position w:val="-1"/>
        </w:rPr>
        <w:t>城镇居民人均可支配收入实际同比</w:t>
      </w:r>
    </w:p>
    <w:p>
      <w:pPr>
        <w:pStyle w:val="BodyText"/>
        <w:ind w:left="142" w:right="1265" w:firstLine="745"/>
        <w:spacing w:before="58" w:line="206" w:lineRule="auto"/>
        <w:rPr>
          <w:rFonts w:ascii="DejaVu Sans" w:hAnsi="DejaVu Sans" w:eastAsia="DejaVu Sans" w:cs="DejaVu Sans"/>
          <w:sz w:val="10"/>
          <w:szCs w:val="10"/>
        </w:rPr>
      </w:pPr>
      <w:r>
        <w:rPr>
          <w:sz w:val="13"/>
          <w:szCs w:val="13"/>
          <w:color w:val="231F20"/>
          <w:position w:val="5"/>
        </w:rPr>
        <w:drawing>
          <wp:inline distT="0" distB="0" distL="0" distR="0">
            <wp:extent cx="159791" cy="12700"/>
            <wp:effectExtent l="0" t="0" r="0" b="0"/>
            <wp:docPr id="80" name="IM 80"/>
            <wp:cNvGraphicFramePr/>
            <a:graphic>
              <a:graphicData uri="http://schemas.openxmlformats.org/drawingml/2006/picture">
                <pic:pic>
                  <pic:nvPicPr>
                    <pic:cNvPr id="80" name="IM 8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791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"/>
        </w:rPr>
        <w:t xml:space="preserve"> </w:t>
      </w:r>
      <w:r>
        <w:rPr>
          <w:sz w:val="13"/>
          <w:szCs w:val="13"/>
          <w:color w:val="231F20"/>
          <w:spacing w:val="9"/>
        </w:rPr>
        <w:t>农村居民人均可支配收入实际同比</w:t>
      </w:r>
      <w:r>
        <w:rPr>
          <w:sz w:val="13"/>
          <w:szCs w:val="13"/>
          <w:color w:val="231F20"/>
        </w:rPr>
        <w:t xml:space="preserve">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8"/>
        </w:rPr>
        <w:t>%</w:t>
      </w:r>
    </w:p>
    <w:p>
      <w:pPr>
        <w:ind w:firstLine="43"/>
        <w:spacing w:before="80" w:line="2333" w:lineRule="exact"/>
        <w:rPr/>
      </w:pPr>
      <w:r>
        <w:rPr>
          <w:position w:val="-46"/>
        </w:rPr>
        <w:drawing>
          <wp:inline distT="0" distB="0" distL="0" distR="0">
            <wp:extent cx="2588158" cy="1481184"/>
            <wp:effectExtent l="0" t="0" r="0" b="0"/>
            <wp:docPr id="82" name="IM 82"/>
            <wp:cNvGraphicFramePr/>
            <a:graphic>
              <a:graphicData uri="http://schemas.openxmlformats.org/drawingml/2006/picture">
                <pic:pic>
                  <pic:nvPicPr>
                    <pic:cNvPr id="82" name="IM 8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8158" cy="14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62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3"/>
        </w:rPr>
        <w:t>图1-12    城乡居民人均可支配收入与</w:t>
      </w:r>
      <w:r>
        <w:rPr>
          <w:sz w:val="18"/>
          <w:szCs w:val="18"/>
          <w:color w:val="231F20"/>
        </w:rPr>
        <w:t>GDP</w:t>
      </w:r>
      <w:r>
        <w:rPr>
          <w:sz w:val="18"/>
          <w:szCs w:val="18"/>
          <w:color w:val="231F20"/>
          <w:spacing w:val="3"/>
        </w:rPr>
        <w:t>增速</w:t>
      </w:r>
    </w:p>
    <w:p>
      <w:pPr>
        <w:pStyle w:val="BodyText"/>
        <w:ind w:left="993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（数据来源：国家统计局）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81"/>
        <w:spacing w:before="65" w:line="169" w:lineRule="auto"/>
        <w:outlineLvl w:val="0"/>
        <w:rPr>
          <w:sz w:val="28"/>
          <w:szCs w:val="28"/>
        </w:rPr>
      </w:pPr>
      <w:bookmarkStart w:name="bookmark38" w:id="9"/>
      <w:bookmarkEnd w:id="9"/>
      <w:bookmarkStart w:name="bookmark3" w:id="10"/>
      <w:bookmarkEnd w:id="10"/>
      <w:r>
        <w:rPr>
          <w:sz w:val="28"/>
          <w:szCs w:val="28"/>
          <w:color w:val="174B8B"/>
          <w:spacing w:val="-4"/>
        </w:rPr>
        <w:t>三、展望</w:t>
      </w:r>
    </w:p>
    <w:p>
      <w:pPr>
        <w:pStyle w:val="BodyText"/>
        <w:ind w:left="2" w:firstLine="423"/>
        <w:spacing w:before="438" w:line="249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19"/>
        </w:rPr>
        <w:t>2025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19"/>
        </w:rPr>
        <w:t>年，坚持以习近平新时代中国特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色社会主义思想为指导，全面贯彻落实党的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二十大和二十届历次全会精神，按照中央经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济工作会议、中央金融工作会议部署，坚持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稳中求进工作总基调，完整准确全面贯彻新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发展理念，加快构建新发展格局，扎实推动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高质量发展，进一步全面深化改革，扩大高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水平对外开放，实施更加积极有为的宏观政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策，加大逆周期和跨周期调节力度，着力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扩大内需、优化供给，防范化解重点领域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风险，稳定预期、激发活力，推动经济实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现质的有效提升和量的合理增长，为实现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“十五五”良好开局打牢基础。</w:t>
      </w:r>
    </w:p>
    <w:p>
      <w:pPr>
        <w:pStyle w:val="BodyText"/>
        <w:ind w:firstLine="434"/>
        <w:spacing w:before="6" w:line="241" w:lineRule="auto"/>
        <w:rPr/>
      </w:pPr>
      <w:r>
        <w:rPr>
          <w:color w:val="231F20"/>
          <w:spacing w:val="9"/>
        </w:rPr>
        <w:t>实施更加积极的财政政策和适度宽松的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6"/>
        </w:rPr>
        <w:t>货币政策。 保持必要的财政赤字、债务总规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7"/>
        </w:rPr>
        <w:t>模和支出总量。增加发行超长期特别国债，</w:t>
      </w:r>
      <w:r>
        <w:rPr>
          <w:color w:val="231F20"/>
        </w:rPr>
        <w:t xml:space="preserve">  </w:t>
      </w:r>
      <w:r>
        <w:rPr>
          <w:color w:val="231F20"/>
          <w:spacing w:val="21"/>
        </w:rPr>
        <w:t>持续支持“两重”项目和“两新”政策实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施。增加地方政府专项债券发行使用，扩大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投向领域和用作项目资本金范围。优化财政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支出结构，提高资金使用效益，更加注重惠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民生、促消费、增后劲。把促进经济增长、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物价合理回升作为货币政策的重要考量，把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握好政策实施的力度节奏和时机，保持流动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性充裕，促进社会综合融资成本低位运行。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9"/>
        </w:rPr>
        <w:t>畅通货币政策传导机制，优化结构性货币政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策工具运用，加强与财政政策协同，激励和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引导金融机构加力支持扩大内需、科技创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新、中小微企业等重点领域。</w:t>
      </w:r>
    </w:p>
    <w:p>
      <w:pPr>
        <w:spacing w:line="241" w:lineRule="auto"/>
        <w:sectPr>
          <w:type w:val="continuous"/>
          <w:pgSz w:w="11906" w:h="16158"/>
          <w:pgMar w:top="1384" w:right="1416" w:bottom="400" w:left="1703" w:header="1061" w:footer="0" w:gutter="0"/>
          <w:cols w:equalWidth="0" w:num="2">
            <w:col w:w="4523" w:space="100"/>
            <w:col w:w="4164" w:space="0"/>
          </w:cols>
        </w:sectPr>
        <w:rPr/>
      </w:pPr>
    </w:p>
    <w:p>
      <w:pPr>
        <w:spacing w:before="169"/>
        <w:rPr/>
      </w:pPr>
      <w:r/>
    </w:p>
    <w:p>
      <w:pPr>
        <w:sectPr>
          <w:headerReference w:type="default" r:id="rId46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5" w:right="356" w:firstLine="428"/>
        <w:spacing w:before="37" w:line="250" w:lineRule="auto"/>
        <w:jc w:val="both"/>
        <w:rPr/>
      </w:pPr>
      <w:r>
        <w:rPr>
          <w:color w:val="231F20"/>
          <w:spacing w:val="9"/>
        </w:rPr>
        <w:t>持续提升金融服务实体经济高质量发展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7"/>
        </w:rPr>
        <w:t>质效。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7"/>
        </w:rPr>
        <w:t>贯彻落实《关于做好金融“五篇大文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章”的指导意见》有关要求，切实加强对重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大战略、重点领域和薄弱环节的优质金融服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务。聚焦国家重大科技任务、科技型中小企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业等重点领域和薄弱环节，持续提升金融支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持科技创新的能力、强度和水平。建立健全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绿色金融服务美丽中国建设工作机制，持续推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2"/>
        <w:spacing w:before="48" w:line="249" w:lineRule="auto"/>
        <w:rPr/>
      </w:pPr>
      <w:r>
        <w:rPr>
          <w:color w:val="231F20"/>
          <w:spacing w:val="-2"/>
        </w:rPr>
        <w:t>动绿色债券市场高质量发展。深入开展中小微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企业金融服务能力提升工程和金融支持乡村全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面振兴专项行动，发挥支持小微企业融资协调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工作机制作用，不断提升普惠金融服务质效。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加快建立完善养老金融体系，构建养老金融长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效机制，服务银发经济高质量发展。落实好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《推动数字金融高质量发展行动方案》，推进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  <w:spacing w:val="-7"/>
        </w:rPr>
        <w:t>金融机构和金融产品服务数字化转型。</w:t>
      </w:r>
    </w:p>
    <w:p>
      <w:pPr>
        <w:spacing w:line="249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5" w:space="100"/>
            <w:col w:w="4164" w:space="0"/>
          </w:cols>
        </w:sectPr>
        <w:rPr/>
      </w:pPr>
    </w:p>
    <w:p>
      <w:pPr>
        <w:pStyle w:val="BodyText"/>
        <w:spacing w:line="260" w:lineRule="auto"/>
        <w:rPr/>
      </w:pPr>
      <w:r/>
    </w:p>
    <w:p>
      <w:pPr>
        <w:pStyle w:val="BodyText"/>
        <w:ind w:left="299"/>
        <w:spacing w:before="135" w:line="174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534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-99438</wp:posOffset>
                </wp:positionV>
                <wp:extent cx="5580380" cy="5748020"/>
                <wp:effectExtent l="0" t="0" r="0" b="0"/>
                <wp:wrapNone/>
                <wp:docPr id="86" name="Rect 86"/>
                <wp:cNvGraphicFramePr/>
                <a:graphic>
                  <a:graphicData uri="http://schemas.microsoft.com/office/word/2010/wordprocessingShape">
                    <wps:wsp>
                      <wps:cNvPr id="86" name="Rect 86"/>
                      <wps:cNvSpPr/>
                      <wps:spPr>
                        <a:xfrm>
                          <a:off x="0" y="-99438"/>
                          <a:ext cx="5580380" cy="574802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90" style="position:absolute;margin-left:0pt;margin-top:-7.82977pt;mso-position-vertical-relative:text;mso-position-horizontal-relative:text;width:439.4pt;height:452.6pt;z-index:-251563008;" fillcolor="#D4E5F5" filled="true" stroked="false"/>
            </w:pict>
          </mc:Fallback>
        </mc:AlternateContent>
      </w:r>
      <w:bookmarkStart w:name="bookmark20" w:id="11"/>
      <w:bookmarkEnd w:id="11"/>
      <w:r>
        <w:rPr>
          <w:sz w:val="28"/>
          <w:szCs w:val="28"/>
          <w:color w:val="231F20"/>
          <w:spacing w:val="-1"/>
        </w:rPr>
        <w:t>专栏三    做好科技金融大文章     精准支持科技创新重点领域</w:t>
      </w:r>
    </w:p>
    <w:p>
      <w:pPr>
        <w:spacing w:line="325" w:lineRule="exact"/>
        <w:rPr/>
      </w:pPr>
      <w:r/>
    </w:p>
    <w:p>
      <w:pPr>
        <w:spacing w:line="325" w:lineRule="exact"/>
        <w:sectPr>
          <w:type w:val="continuous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88" w:right="355" w:firstLine="444"/>
        <w:spacing w:before="45" w:line="250" w:lineRule="auto"/>
        <w:jc w:val="both"/>
        <w:rPr/>
      </w:pPr>
      <w:r>
        <w:rPr>
          <w:color w:val="231F20"/>
          <w:spacing w:val="18"/>
        </w:rPr>
        <w:t>高质量金融要为高质量发展提供有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力支持，金融服务结构和质量必须适应经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济发展更多依靠创新和创造的大趋势。中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央金融工作会议提出做好金融“五篇大文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章”，科技金融居于首位。中国人民银行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认真贯彻党中央、国务院决策部署，加快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构建与高水平科技自立自强高度适配的金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融服务体系，为各类创新主体提供全链条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全生命周期金融服务，支持推动现代化产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4"/>
        </w:rPr>
        <w:t>业体系建设。</w:t>
      </w:r>
    </w:p>
    <w:p>
      <w:pPr>
        <w:pStyle w:val="BodyText"/>
        <w:ind w:left="287" w:right="364" w:firstLine="434"/>
        <w:spacing w:before="1" w:line="247" w:lineRule="auto"/>
        <w:rPr/>
      </w:pPr>
      <w:r>
        <w:rPr>
          <w:color w:val="231F20"/>
          <w:spacing w:val="4"/>
        </w:rPr>
        <w:t>一、科技金融服务能力建设取得积极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成效</w:t>
      </w:r>
    </w:p>
    <w:p>
      <w:pPr>
        <w:pStyle w:val="BodyText"/>
        <w:ind w:left="293" w:right="355" w:firstLine="426"/>
        <w:spacing w:before="3" w:line="233" w:lineRule="auto"/>
        <w:rPr/>
      </w:pPr>
      <w:r>
        <w:rPr>
          <w:color w:val="231F20"/>
          <w:spacing w:val="3"/>
        </w:rPr>
        <w:t>一是科技金融的政策框架持续健全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</w:rPr>
        <w:t>。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完善金融支持科技创新的顶层设计，推动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7"/>
        </w:rPr>
        <w:t>建立全方位、多层次的科技金融服务体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系。制定扎实做好科技金融大文章的工作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方案，构建金融支持科技创新政策总体框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架。优化区域科技金融布局，指导科技要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素密集地区加强科技金融服务，鼓励科创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4" w:line="193" w:lineRule="auto"/>
        <w:rPr/>
      </w:pPr>
      <w:r>
        <w:rPr>
          <w:color w:val="231F20"/>
          <w:spacing w:val="-3"/>
        </w:rPr>
        <w:t>金融改革试验区先行先试。</w:t>
      </w:r>
    </w:p>
    <w:p>
      <w:pPr>
        <w:pStyle w:val="BodyText"/>
        <w:ind w:left="1" w:right="284" w:firstLine="430"/>
        <w:spacing w:before="101" w:line="249" w:lineRule="auto"/>
        <w:jc w:val="both"/>
        <w:rPr/>
      </w:pPr>
      <w:r>
        <w:rPr>
          <w:color w:val="231F20"/>
          <w:spacing w:val="5"/>
        </w:rPr>
        <w:t>二是支持科技创新的金融政策工具更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加完善和精准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6"/>
        </w:rPr>
        <w:t>。2024年4月，设立5000亿元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科技创新和技术改造再贷款，融合“创新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积分制”和产业政策标准，引导金融资源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更加精准支持初创期、成长期科技型中小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企业，以及重点领域数字化、智能化、绿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色化改造。截至2024年末，科技创新和技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术改造贷款签约金额近1万亿元。</w:t>
      </w:r>
    </w:p>
    <w:p>
      <w:pPr>
        <w:pStyle w:val="BodyText"/>
        <w:ind w:left="3" w:right="284" w:firstLine="431"/>
        <w:spacing w:before="3" w:line="238" w:lineRule="auto"/>
        <w:jc w:val="both"/>
        <w:rPr/>
      </w:pPr>
      <w:r>
        <w:rPr>
          <w:color w:val="231F20"/>
          <w:spacing w:val="19"/>
        </w:rPr>
        <w:t>三是金融机构和金融市场对科技创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4"/>
        </w:rPr>
        <w:t>新的支持力度明显提升 。科技型企业贷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款持续增量扩面。截至2024年末，科技型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8"/>
        </w:rPr>
        <w:t>中小企业贷款、“专精特新”企业贷款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余额分别同比增长21.2%、13.0%，均高于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8"/>
        </w:rPr>
        <w:t>各项贷款增速；科技型中小企业获贷率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达到47%，是2019年末的2倍。科创类债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8"/>
        </w:rPr>
        <w:t>券建立注册发行绿色通道，发行规模持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续提升。服务科技创新的股权融资市场快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6"/>
        </w:rPr>
        <w:t>速发展，超过1900家专精特新企业在A股</w:t>
      </w:r>
    </w:p>
    <w:p>
      <w:pPr>
        <w:spacing w:line="238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3" w:space="100"/>
            <w:col w:w="4166" w:space="0"/>
          </w:cols>
        </w:sectPr>
        <w:rPr/>
      </w:pPr>
    </w:p>
    <w:p>
      <w:pPr>
        <w:spacing w:before="319"/>
        <w:rPr/>
      </w:pPr>
      <w:r/>
    </w:p>
    <w:p>
      <w:pPr>
        <w:sectPr>
          <w:headerReference w:type="default" r:id="rId47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91"/>
        <w:spacing w:before="46" w:line="194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16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-114209</wp:posOffset>
                </wp:positionV>
                <wp:extent cx="5580380" cy="6822440"/>
                <wp:effectExtent l="0" t="0" r="0" b="0"/>
                <wp:wrapNone/>
                <wp:docPr id="88" name="Rect 88"/>
                <wp:cNvGraphicFramePr/>
                <a:graphic>
                  <a:graphicData uri="http://schemas.microsoft.com/office/word/2010/wordprocessingShape">
                    <wps:wsp>
                      <wps:cNvPr id="88" name="Rect 88"/>
                      <wps:cNvSpPr/>
                      <wps:spPr>
                        <a:xfrm>
                          <a:off x="0" y="-114209"/>
                          <a:ext cx="5580380" cy="68224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92" style="position:absolute;margin-left:0pt;margin-top:-8.99286pt;mso-position-vertical-relative:text;mso-position-horizontal-relative:text;width:439.4pt;height:537.2pt;z-index:-251554816;" fillcolor="#D4E5F5" filled="true" stroked="false"/>
            </w:pict>
          </mc:Fallback>
        </mc:AlternateContent>
      </w:r>
      <w:r>
        <w:rPr>
          <w:color w:val="231F20"/>
          <w:spacing w:val="-8"/>
        </w:rPr>
        <w:t>上市。</w:t>
      </w:r>
    </w:p>
    <w:p>
      <w:pPr>
        <w:pStyle w:val="BodyText"/>
        <w:ind w:left="289" w:right="353" w:firstLine="434"/>
        <w:spacing w:before="98" w:line="249" w:lineRule="auto"/>
        <w:jc w:val="both"/>
        <w:rPr/>
      </w:pPr>
      <w:bookmarkStart w:name="bookmark39" w:id="12"/>
      <w:bookmarkEnd w:id="12"/>
      <w:r>
        <w:rPr>
          <w:color w:val="231F20"/>
          <w:spacing w:val="5"/>
        </w:rPr>
        <w:t>四是支持科技创新的金融产品服务模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式更加丰富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。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1"/>
        </w:rPr>
        <w:t>“总部+区域科创中心+科技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支行”的专业组织架构在大型银行普遍建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立，突出企业创新能力和成长性的“技术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流”风险评估模式获得广泛运用。知识产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权质押贷款持续增量扩面，供应链金融服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务线上化、数字化水平明显提升。</w:t>
      </w:r>
    </w:p>
    <w:p>
      <w:pPr>
        <w:pStyle w:val="BodyText"/>
        <w:ind w:left="289" w:right="353" w:firstLine="431"/>
        <w:spacing w:before="12" w:line="249" w:lineRule="auto"/>
        <w:jc w:val="both"/>
        <w:rPr/>
      </w:pPr>
      <w:r>
        <w:rPr>
          <w:color w:val="231F20"/>
          <w:spacing w:val="3"/>
        </w:rPr>
        <w:t>五是科技金融政策配套不断健全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</w:rPr>
        <w:t>。稳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步推进跨境融资便利化试点、合格境外有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限合伙人（QFLP）外汇管理试点。加强部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门协作，搭建科技金融信息平台或服务专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区，常态化推送科技型企业信息，促进银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企精准对接。不少地区设立科技信贷风险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补偿基金，引导政府性融资担保支持科技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型企业融资，对科技金融产品创新给予财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6"/>
        </w:rPr>
        <w:t>政奖补。</w:t>
      </w:r>
    </w:p>
    <w:p>
      <w:pPr>
        <w:pStyle w:val="BodyText"/>
        <w:ind w:left="295" w:right="354" w:firstLine="426"/>
        <w:spacing w:before="2" w:line="247" w:lineRule="auto"/>
        <w:rPr/>
      </w:pPr>
      <w:r>
        <w:rPr>
          <w:color w:val="231F20"/>
          <w:spacing w:val="5"/>
        </w:rPr>
        <w:t>二、围绕高水平科技自立自强目标完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善金融服务体系</w:t>
      </w:r>
    </w:p>
    <w:p>
      <w:pPr>
        <w:pStyle w:val="BodyText"/>
        <w:ind w:left="285" w:right="353" w:firstLine="428"/>
        <w:spacing w:before="5" w:line="249" w:lineRule="auto"/>
        <w:jc w:val="both"/>
        <w:rPr/>
      </w:pPr>
      <w:r>
        <w:rPr>
          <w:color w:val="231F20"/>
          <w:spacing w:val="5"/>
        </w:rPr>
        <w:t>科技型企业在其生命周期不同阶段的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融资需求有较大差异，多元化接力式的金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融服务有利于满足不同生命周期创新主体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的融资需求。下一步，中国人民银行将深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化金融供给侧结构性改革，落实好支持科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技金融大文章的工作方案，引导金融资本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" w:right="284"/>
        <w:spacing w:before="45" w:line="249" w:lineRule="auto"/>
        <w:rPr/>
      </w:pPr>
      <w:r>
        <w:rPr>
          <w:color w:val="231F20"/>
          <w:spacing w:val="5"/>
        </w:rPr>
        <w:t>投早、投小、投长期、投硬科技，促进科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技金融健康持续发展。</w:t>
      </w:r>
    </w:p>
    <w:p>
      <w:pPr>
        <w:pStyle w:val="BodyText"/>
        <w:ind w:left="2" w:right="283" w:firstLine="433"/>
        <w:spacing w:before="6" w:line="249" w:lineRule="auto"/>
        <w:jc w:val="both"/>
        <w:rPr/>
      </w:pPr>
      <w:r>
        <w:rPr>
          <w:color w:val="231F20"/>
          <w:spacing w:val="5"/>
        </w:rPr>
        <w:t>一是加大对科技型中小企业的信贷支 </w:t>
      </w:r>
      <w:r>
        <w:rPr>
          <w:color w:val="231F20"/>
          <w:spacing w:val="3"/>
        </w:rPr>
        <w:t>持力度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。推动银行完善资源配置、绩效考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核等政策安排，逐步形成与科技强国建设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相适应的信贷资产结构。引导商业银行构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建科技金融专属组织架构，提升科技支行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和业务团队专业化水平。丰富和完善科技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0"/>
        </w:rPr>
        <w:t>金融产品服务谱系，发展“贷款+外部直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</w:rPr>
        <w:t>投”、知识产权质押贷款等产品。</w:t>
      </w:r>
    </w:p>
    <w:p>
      <w:pPr>
        <w:pStyle w:val="BodyText"/>
        <w:ind w:right="284" w:firstLine="435"/>
        <w:spacing w:before="6" w:line="249" w:lineRule="auto"/>
        <w:jc w:val="both"/>
        <w:rPr/>
      </w:pPr>
      <w:r>
        <w:rPr>
          <w:color w:val="231F20"/>
          <w:spacing w:val="3"/>
        </w:rPr>
        <w:t>二是推动创投行业高质量发展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3"/>
        </w:rPr>
        <w:t>。畅通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“募投管退”全链条，特别是拓宽创投资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金来源和退出渠道，支持更多优质股权投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资机构发债融资，发挥好政府投资基金引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导作用，发展市场化并购母基金、创业投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资二级市场基金，推动创投机构提升综合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性服务能力，精准支持种子期、初创期科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-4"/>
        </w:rPr>
        <w:t>技型企业。</w:t>
      </w:r>
    </w:p>
    <w:p>
      <w:pPr>
        <w:pStyle w:val="BodyText"/>
        <w:ind w:left="7" w:right="284" w:firstLine="430"/>
        <w:spacing w:before="5" w:line="249" w:lineRule="auto"/>
        <w:jc w:val="both"/>
        <w:rPr/>
      </w:pPr>
      <w:r>
        <w:rPr>
          <w:color w:val="231F20"/>
          <w:spacing w:val="1"/>
        </w:rPr>
        <w:t>三是平衡好金融支持与风险防范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"/>
        </w:rPr>
        <w:t>。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引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导金融机构加快构建适应科技型企业特点 </w:t>
      </w:r>
      <w:r>
        <w:rPr>
          <w:color w:val="231F20"/>
          <w:spacing w:val="5"/>
        </w:rPr>
        <w:t>的风险评估模型，积极运用数字技术提高 </w:t>
      </w:r>
      <w:r>
        <w:rPr>
          <w:color w:val="231F20"/>
          <w:spacing w:val="5"/>
        </w:rPr>
        <w:t>风险评估和监测能力。推动健全科技贷款 </w:t>
      </w:r>
      <w:r>
        <w:rPr>
          <w:color w:val="231F20"/>
          <w:spacing w:val="5"/>
        </w:rPr>
        <w:t>风险分担补偿体系，提升担保覆盖面。加 </w:t>
      </w:r>
      <w:r>
        <w:rPr>
          <w:color w:val="231F20"/>
          <w:spacing w:val="5"/>
        </w:rPr>
        <w:t>强金融政策与科技产业政策协同，强化信 </w:t>
      </w:r>
      <w:r>
        <w:rPr>
          <w:color w:val="231F20"/>
          <w:spacing w:val="-3"/>
        </w:rPr>
        <w:t>贷风险管理和资金用途监控。</w:t>
      </w:r>
    </w:p>
    <w:p>
      <w:pPr>
        <w:spacing w:line="249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1" w:space="100"/>
            <w:col w:w="4168" w:space="0"/>
          </w:cols>
        </w:sectPr>
        <w:rPr/>
      </w:pPr>
    </w:p>
    <w:p>
      <w:pPr>
        <w:spacing w:line="197" w:lineRule="exact"/>
        <w:rPr/>
      </w:pPr>
      <w:r/>
    </w:p>
    <w:p>
      <w:pPr>
        <w:spacing w:line="197" w:lineRule="exact"/>
        <w:sectPr>
          <w:type w:val="continuous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7" w:right="358" w:firstLine="424"/>
        <w:spacing w:before="40" w:line="219" w:lineRule="auto"/>
        <w:jc w:val="both"/>
        <w:rPr/>
      </w:pPr>
      <w:r>
        <w:rPr>
          <w:color w:val="231F20"/>
          <w:spacing w:val="12"/>
        </w:rPr>
        <w:t>深化金融改革和高水平对外开放。   强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8"/>
        </w:rPr>
        <w:t>化中央银行政策利率引导，完善市场化利率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形成传导机制，发挥市场利率定价自律机制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作用。稳步深化汇率市场化改革，完善以市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2"/>
        <w:spacing w:before="44" w:line="218" w:lineRule="auto"/>
        <w:rPr/>
      </w:pPr>
      <w:r>
        <w:rPr>
          <w:color w:val="231F20"/>
          <w:spacing w:val="6"/>
        </w:rPr>
        <w:t>场供求为基础、参考一篮子货币进行调节、</w:t>
      </w:r>
      <w:r>
        <w:rPr>
          <w:color w:val="231F20"/>
          <w:spacing w:val="8"/>
        </w:rPr>
        <w:t xml:space="preserve">  </w:t>
      </w:r>
      <w:r>
        <w:rPr>
          <w:color w:val="231F20"/>
          <w:spacing w:val="9"/>
        </w:rPr>
        <w:t>有管理的浮动汇率制度，发挥汇率调节宏观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经济和国际收支自动稳定器功能。深化资本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市场投融资综合改革，大力推动中长期资金</w:t>
      </w:r>
    </w:p>
    <w:p>
      <w:pPr>
        <w:spacing w:line="218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6" w:space="100"/>
            <w:col w:w="4163" w:space="0"/>
          </w:cols>
        </w:sectPr>
        <w:rPr/>
      </w:pPr>
    </w:p>
    <w:p>
      <w:pPr>
        <w:spacing w:before="172"/>
        <w:rPr/>
      </w:pPr>
      <w:r/>
    </w:p>
    <w:p>
      <w:pPr>
        <w:sectPr>
          <w:headerReference w:type="default" r:id="rId48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3" w:right="357"/>
        <w:spacing w:before="46" w:line="249" w:lineRule="auto"/>
        <w:rPr/>
      </w:pPr>
      <w:bookmarkStart w:name="bookmark40" w:id="13"/>
      <w:bookmarkEnd w:id="13"/>
      <w:r>
        <w:rPr>
          <w:color w:val="231F20"/>
          <w:spacing w:val="21"/>
        </w:rPr>
        <w:t>入市，加强战略性力量储备和稳市机制建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1"/>
        </w:rPr>
        <w:t>设。改革优化股票发行上市和并购重组制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度。加快多层次债券市场发展。稳慎扎实推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进人民币国际化，进一步扩大人民币在跨境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贸易和投资中的使用，深化对外货币合作，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发展离岸人民币市场。开展跨境贸易投资高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水平开放试点，提升跨境贸易投资自由化、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21"/>
        </w:rPr>
        <w:t>便利化水平，稳步推进人民币资本项目可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兑换。</w:t>
      </w:r>
    </w:p>
    <w:p>
      <w:pPr>
        <w:pStyle w:val="BodyText"/>
        <w:ind w:left="3" w:right="357" w:firstLine="427"/>
        <w:spacing w:line="250" w:lineRule="auto"/>
        <w:rPr/>
      </w:pPr>
      <w:r>
        <w:rPr>
          <w:color w:val="231F20"/>
          <w:spacing w:val="12"/>
        </w:rPr>
        <w:t>积极稳妥防范化解金融风险。   在宏观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9"/>
        </w:rPr>
        <w:t>层面把握好经济增长、经济结构调整和金融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7"/>
        <w:spacing w:before="48" w:line="249" w:lineRule="auto"/>
        <w:jc w:val="both"/>
        <w:rPr/>
      </w:pPr>
      <w:r>
        <w:rPr>
          <w:color w:val="231F20"/>
          <w:spacing w:val="8"/>
        </w:rPr>
        <w:t>风险防范之间的动态平衡，推动经济高质量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9"/>
        </w:rPr>
        <w:t>发展，夯实金融市场平稳运行和微观单体金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融机构稳健经营的根基。强化金融机构的公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司治理和风险管理，加强日常监管，筑牢防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范金融风险的“第一道防线”。加强宏观审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慎管理、微观审慎监管、行为监管等协同配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合，形成合力。强化具有硬约束的金融风险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早期纠正机制，加强存款保险专业化风险处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置职能，发挥好行业保障基金、金融稳定保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障基金、中央银行最后贷款人作用，注意防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范道德风险。</w:t>
      </w:r>
    </w:p>
    <w:p>
      <w:pPr>
        <w:spacing w:line="249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6" w:space="100"/>
            <w:col w:w="4164" w:space="0"/>
          </w:cols>
        </w:sectPr>
        <w:rPr/>
      </w:pPr>
    </w:p>
    <w:p>
      <w:pPr>
        <w:pStyle w:val="BodyText"/>
        <w:spacing w:line="260" w:lineRule="auto"/>
        <w:rPr/>
      </w:pPr>
      <w:r/>
    </w:p>
    <w:p>
      <w:pPr>
        <w:pStyle w:val="BodyText"/>
        <w:ind w:left="299"/>
        <w:spacing w:before="136" w:line="176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698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-99089</wp:posOffset>
                </wp:positionV>
                <wp:extent cx="5580380" cy="4681220"/>
                <wp:effectExtent l="0" t="0" r="0" b="0"/>
                <wp:wrapNone/>
                <wp:docPr id="92" name="Rect 92"/>
                <wp:cNvGraphicFramePr/>
                <a:graphic>
                  <a:graphicData uri="http://schemas.microsoft.com/office/word/2010/wordprocessingShape">
                    <wps:wsp>
                      <wps:cNvPr id="92" name="Rect 92"/>
                      <wps:cNvSpPr/>
                      <wps:spPr>
                        <a:xfrm>
                          <a:off x="0" y="-99089"/>
                          <a:ext cx="5580380" cy="468122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94" style="position:absolute;margin-left:0pt;margin-top:-7.80231pt;mso-position-vertical-relative:text;mso-position-horizontal-relative:text;width:439.4pt;height:368.6pt;z-index:-251546624;" fillcolor="#D4E5F5" filled="true" stroked="false"/>
            </w:pict>
          </mc:Fallback>
        </mc:AlternateContent>
      </w:r>
      <w:bookmarkStart w:name="bookmark21" w:id="14"/>
      <w:bookmarkEnd w:id="14"/>
      <w:r>
        <w:rPr>
          <w:sz w:val="28"/>
          <w:szCs w:val="28"/>
          <w:color w:val="231F20"/>
        </w:rPr>
        <w:t>专栏四    金融支持融资平台债务风险化解取得阶段性成效</w:t>
      </w:r>
    </w:p>
    <w:p>
      <w:pPr>
        <w:spacing w:line="320" w:lineRule="exact"/>
        <w:rPr/>
      </w:pPr>
      <w:r/>
    </w:p>
    <w:p>
      <w:pPr>
        <w:spacing w:line="320" w:lineRule="exact"/>
        <w:sectPr>
          <w:type w:val="continuous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88" w:right="357" w:firstLine="430"/>
        <w:spacing w:before="49" w:line="249" w:lineRule="auto"/>
        <w:jc w:val="both"/>
        <w:rPr/>
      </w:pPr>
      <w:r>
        <w:rPr>
          <w:color w:val="231F20"/>
          <w:spacing w:val="5"/>
        </w:rPr>
        <w:t>近年来，按照党中央、国务院决策部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署，在中央金融委统筹下，中国人民银行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会同有关部门、地方政府和金融机构，积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极做好金融支持融资平台债务风险化解各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项工作，取得重要阶段性成效。</w:t>
      </w:r>
    </w:p>
    <w:p>
      <w:pPr>
        <w:pStyle w:val="BodyText"/>
        <w:ind w:left="287" w:right="357" w:firstLine="431"/>
        <w:spacing w:before="2" w:line="238" w:lineRule="auto"/>
        <w:jc w:val="both"/>
        <w:rPr/>
      </w:pPr>
      <w:r>
        <w:rPr>
          <w:color w:val="231F20"/>
          <w:spacing w:val="5"/>
        </w:rPr>
        <w:t>一是推动出台金融支持融资平台债务 </w:t>
      </w:r>
      <w:r>
        <w:rPr>
          <w:color w:val="231F20"/>
          <w:spacing w:val="5"/>
        </w:rPr>
        <w:t>风险化解系列政策文件，建立融资平台债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务统计监测系统和查询系统，提高融资平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台债务数据质量。二是引导金融机构按照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市场化、法治化原则，与融资平台平等协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商，通过降低利率、延长期限等债务重组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方式，缓解融资平台流动性压力、减轻利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息负担。三是中国人民银行联合财政部等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部门建立了严格的融资平台退出标准和程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序，指导地方政府分类施策，推动融资平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9"/>
        <w:spacing w:before="42" w:line="194" w:lineRule="auto"/>
        <w:rPr/>
      </w:pPr>
      <w:r>
        <w:rPr>
          <w:color w:val="231F20"/>
          <w:spacing w:val="-7"/>
        </w:rPr>
        <w:t>台规范有序退出。</w:t>
      </w:r>
    </w:p>
    <w:p>
      <w:pPr>
        <w:pStyle w:val="BodyText"/>
        <w:ind w:right="283" w:firstLine="439"/>
        <w:spacing w:before="105" w:line="249" w:lineRule="auto"/>
        <w:rPr/>
      </w:pPr>
      <w:r>
        <w:rPr>
          <w:color w:val="231F20"/>
          <w:spacing w:val="19"/>
        </w:rPr>
        <w:t>经多方努力，大部分融资平台到期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债务实现了接续、重组和置换，融资成本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负担较之前显著下降，融资平台债务风险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已大幅收敛，金融市场秩序和金融生态环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境保持总体稳定。截至2024年末，与2023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4"/>
        </w:rPr>
        <w:t>年初相比，约有40%的融资平台通过市场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4"/>
        </w:rPr>
        <w:t>化转型等方式，退出了融资平台的序列。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2024年末，融资平台经营性金融债务规模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"/>
        </w:rPr>
        <w:t>约为14.8万亿元，较2023年初下降25%左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右。2024年第四季度，融资平台新发行债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6"/>
        </w:rPr>
        <w:t>券平均利率为2.67%，较2023年第一季度降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低超过2个百分点，融资平台在金融市场中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筹集资金的风险溢价水平大幅下降。</w:t>
      </w:r>
    </w:p>
    <w:p>
      <w:pPr>
        <w:pStyle w:val="BodyText"/>
        <w:ind w:left="438"/>
        <w:spacing w:line="229" w:lineRule="exact"/>
        <w:rPr/>
      </w:pPr>
      <w:r>
        <w:rPr>
          <w:color w:val="231F20"/>
          <w:spacing w:val="14"/>
          <w:position w:val="-1"/>
        </w:rPr>
        <w:t>下</w:t>
      </w:r>
      <w:r>
        <w:rPr>
          <w:color w:val="231F20"/>
          <w:spacing w:val="-3"/>
          <w:position w:val="-1"/>
        </w:rPr>
        <w:t xml:space="preserve"> </w:t>
      </w:r>
      <w:r>
        <w:rPr>
          <w:color w:val="231F20"/>
          <w:spacing w:val="14"/>
          <w:position w:val="-1"/>
        </w:rPr>
        <w:t>一</w:t>
      </w:r>
      <w:r>
        <w:rPr>
          <w:color w:val="231F20"/>
          <w:spacing w:val="-11"/>
          <w:position w:val="-1"/>
        </w:rPr>
        <w:t xml:space="preserve"> </w:t>
      </w:r>
      <w:r>
        <w:rPr>
          <w:color w:val="231F20"/>
          <w:spacing w:val="14"/>
          <w:position w:val="-1"/>
        </w:rPr>
        <w:t>步，中国人民银行将按照党中</w:t>
      </w:r>
    </w:p>
    <w:p>
      <w:pPr>
        <w:spacing w:line="229" w:lineRule="exact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5" w:space="100"/>
            <w:col w:w="4164" w:space="0"/>
          </w:cols>
        </w:sectPr>
        <w:rPr/>
      </w:pPr>
    </w:p>
    <w:p>
      <w:pPr>
        <w:spacing w:before="319"/>
        <w:rPr/>
      </w:pPr>
      <w:r/>
    </w:p>
    <w:p>
      <w:pPr>
        <w:sectPr>
          <w:headerReference w:type="default" r:id="rId49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5" w:right="357" w:firstLine="16"/>
        <w:spacing w:before="46" w:line="221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7780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-114009</wp:posOffset>
                </wp:positionV>
                <wp:extent cx="5580380" cy="1221740"/>
                <wp:effectExtent l="0" t="0" r="0" b="0"/>
                <wp:wrapNone/>
                <wp:docPr id="94" name="Rect 94"/>
                <wp:cNvGraphicFramePr/>
                <a:graphic>
                  <a:graphicData uri="http://schemas.microsoft.com/office/word/2010/wordprocessingShape">
                    <wps:wsp>
                      <wps:cNvPr id="94" name="Rect 94"/>
                      <wps:cNvSpPr/>
                      <wps:spPr>
                        <a:xfrm>
                          <a:off x="0" y="-114009"/>
                          <a:ext cx="5580380" cy="12217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96" style="position:absolute;margin-left:0pt;margin-top:-8.97711pt;mso-position-vertical-relative:text;mso-position-horizontal-relative:text;width:439.4pt;height:96.2pt;z-index:-251538432;" fillcolor="#D4E5F5" filled="true" stroked="false"/>
            </w:pict>
          </mc:Fallback>
        </mc:AlternateContent>
      </w:r>
      <w:bookmarkStart w:name="bookmark41" w:id="15"/>
      <w:bookmarkEnd w:id="15"/>
      <w:r>
        <w:rPr>
          <w:color w:val="231F20"/>
          <w:spacing w:val="4"/>
        </w:rPr>
        <w:t>央决策部署，落实好融资平台债务风险化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解的各项政策，稳妥推进融资平台转型发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展，有效提升融资平台经营能力。引导金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融机构继续做好债务接续、重组和置换，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" w:right="283" w:hanging="2"/>
        <w:spacing w:before="43" w:line="261" w:lineRule="auto"/>
        <w:jc w:val="both"/>
        <w:rPr/>
      </w:pPr>
      <w:r>
        <w:rPr>
          <w:color w:val="231F20"/>
          <w:spacing w:val="5"/>
        </w:rPr>
        <w:t>按照市场化原则，保持重点领域、薄弱环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节和重大项目的融资支持力度，推动形成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化债和发展的良性循环。</w:t>
      </w:r>
    </w:p>
    <w:p>
      <w:pPr>
        <w:spacing w:line="261" w:lineRule="auto"/>
        <w:sectPr>
          <w:type w:val="continuous"/>
          <w:pgSz w:w="11906" w:h="16158"/>
          <w:pgMar w:top="1384" w:right="1417" w:bottom="400" w:left="1700" w:header="1061" w:footer="0" w:gutter="0"/>
          <w:cols w:equalWidth="0" w:num="2">
            <w:col w:w="4525" w:space="100"/>
            <w:col w:w="4163" w:space="0"/>
          </w:cols>
        </w:sectPr>
        <w:rPr/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pStyle w:val="BodyText"/>
        <w:ind w:left="8158"/>
        <w:spacing w:before="336" w:line="344" w:lineRule="exact"/>
        <w:rPr>
          <w:rFonts w:ascii="DejaVu Sans" w:hAnsi="DejaVu Sans" w:eastAsia="DejaVu Sans" w:cs="DejaVu Sans"/>
          <w:sz w:val="29"/>
          <w:szCs w:val="29"/>
        </w:rPr>
      </w:pPr>
      <w:r>
        <w:drawing>
          <wp:anchor distT="0" distB="0" distL="0" distR="0" simplePos="0" relativeHeight="251793408" behindDoc="0" locked="0" layoutInCell="0" allowOverlap="1">
            <wp:simplePos x="0" y="0"/>
            <wp:positionH relativeFrom="page">
              <wp:posOffset>4791060</wp:posOffset>
            </wp:positionH>
            <wp:positionV relativeFrom="page">
              <wp:posOffset>449999</wp:posOffset>
            </wp:positionV>
            <wp:extent cx="337500" cy="292349"/>
            <wp:effectExtent l="0" t="0" r="0" b="0"/>
            <wp:wrapNone/>
            <wp:docPr id="96" name="IM 96"/>
            <wp:cNvGraphicFramePr/>
            <a:graphic>
              <a:graphicData uri="http://schemas.openxmlformats.org/drawingml/2006/picture">
                <pic:pic>
                  <pic:nvPicPr>
                    <pic:cNvPr id="96" name="IM 9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00" cy="2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  <w:szCs w:val="29"/>
          <w:color w:val="174B8B"/>
          <w:spacing w:val="-6"/>
          <w:position w:val="3"/>
        </w:rPr>
        <w:t>中国金融稳定报告</w:t>
      </w:r>
      <w:r>
        <w:rPr>
          <w:sz w:val="29"/>
          <w:szCs w:val="29"/>
          <w:color w:val="174B8B"/>
          <w:spacing w:val="-6"/>
          <w:position w:val="3"/>
        </w:rPr>
        <w:t xml:space="preserve"> </w:t>
      </w:r>
      <w:r>
        <w:rPr>
          <w:rFonts w:ascii="DejaVu Sans" w:hAnsi="DejaVu Sans" w:eastAsia="DejaVu Sans" w:cs="DejaVu Sans"/>
          <w:sz w:val="29"/>
          <w:szCs w:val="29"/>
          <w:color w:val="174B8B"/>
          <w:spacing w:val="-6"/>
          <w:position w:val="-6"/>
        </w:rPr>
        <w:t>2025</w:t>
      </w:r>
    </w:p>
    <w:p>
      <w:pPr>
        <w:ind w:left="8164"/>
        <w:spacing w:line="221" w:lineRule="auto"/>
        <w:rPr>
          <w:rFonts w:ascii="DejaVu Sans" w:hAnsi="DejaVu Sans" w:eastAsia="DejaVu Sans" w:cs="DejaVu Sans"/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china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29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4"/>
        </w:rPr>
        <w:t>Financial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21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stability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Report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ind w:left="5173" w:right="4472" w:firstLine="69"/>
        <w:spacing w:before="347" w:line="194" w:lineRule="auto"/>
        <w:rPr>
          <w:sz w:val="76"/>
          <w:szCs w:val="76"/>
        </w:rPr>
      </w:pPr>
      <w:r>
        <w:rPr>
          <w:sz w:val="72"/>
          <w:szCs w:val="72"/>
          <w:color w:val="174B8B"/>
          <w:spacing w:val="-10"/>
        </w:rPr>
        <w:t>第二章</w:t>
      </w:r>
      <w:r>
        <w:rPr>
          <w:sz w:val="72"/>
          <w:szCs w:val="72"/>
          <w:color w:val="174B8B"/>
        </w:rPr>
        <w:t xml:space="preserve"> </w:t>
      </w:r>
      <w:r>
        <w:rPr>
          <w:sz w:val="76"/>
          <w:szCs w:val="76"/>
          <w:color w:val="174B8B"/>
          <w:spacing w:val="-7"/>
        </w:rPr>
        <w:t>银行业</w:t>
      </w:r>
    </w:p>
    <w:p>
      <w:pPr>
        <w:spacing w:line="194" w:lineRule="auto"/>
        <w:sectPr>
          <w:headerReference w:type="default" r:id="rId50"/>
          <w:pgSz w:w="11906" w:h="16158"/>
          <w:pgMar w:top="400" w:right="0" w:bottom="400" w:left="0" w:header="0" w:footer="0" w:gutter="0"/>
        </w:sectPr>
        <w:rPr>
          <w:sz w:val="76"/>
          <w:szCs w:val="76"/>
        </w:rPr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spacing w:before="155"/>
        <w:rPr/>
      </w:pPr>
      <w:r/>
    </w:p>
    <w:p>
      <w:pPr>
        <w:sectPr>
          <w:headerReference w:type="default" r:id="rId51"/>
          <w:pgSz w:w="11906" w:h="16158"/>
          <w:pgMar w:top="1383" w:right="1415" w:bottom="400" w:left="1700" w:header="1060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7" w:right="356" w:firstLine="421"/>
        <w:spacing w:before="38" w:line="255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19"/>
        </w:rPr>
        <w:t>2024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19"/>
        </w:rPr>
        <w:t>年，银行业资产负债规模稳步增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长，信贷结构持续优化，全力做好金融“五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8"/>
        </w:rPr>
        <w:t>篇大文章”，加大对重大战略、重点领域和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8"/>
        </w:rPr>
        <w:t>薄弱环节的金融支持力度。银行业运行总体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8"/>
        </w:rPr>
        <w:t>稳健，资本充足水平稳定，资产质量整体平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6"/>
        </w:rPr>
        <w:t>稳，风险抵补能力充足，流动性合理充裕，</w:t>
      </w:r>
      <w:r>
        <w:rPr>
          <w:color w:val="231F20"/>
          <w:spacing w:val="8"/>
        </w:rPr>
        <w:t xml:space="preserve">  </w:t>
      </w:r>
      <w:r>
        <w:rPr>
          <w:color w:val="231F20"/>
          <w:spacing w:val="-2"/>
        </w:rPr>
        <w:t>为实体经济平稳有序运行提供了有力支撑。</w:t>
      </w:r>
    </w:p>
    <w:p>
      <w:pPr>
        <w:pStyle w:val="BodyText"/>
        <w:ind w:left="482"/>
        <w:spacing w:before="402" w:line="172" w:lineRule="auto"/>
        <w:outlineLvl w:val="0"/>
        <w:rPr>
          <w:sz w:val="28"/>
          <w:szCs w:val="28"/>
        </w:rPr>
      </w:pPr>
      <w:bookmarkStart w:name="bookmark4" w:id="16"/>
      <w:bookmarkEnd w:id="16"/>
      <w:r>
        <w:rPr>
          <w:sz w:val="28"/>
          <w:szCs w:val="28"/>
          <w:color w:val="174B8B"/>
          <w:spacing w:val="-5"/>
        </w:rPr>
        <w:t>一、运行状况</w:t>
      </w:r>
    </w:p>
    <w:p>
      <w:pPr>
        <w:pStyle w:val="BodyText"/>
        <w:spacing w:line="286" w:lineRule="auto"/>
        <w:rPr/>
      </w:pPr>
      <w:r/>
    </w:p>
    <w:p>
      <w:pPr>
        <w:pStyle w:val="BodyText"/>
        <w:ind w:left="9" w:right="366" w:firstLine="408"/>
        <w:spacing w:before="116" w:line="237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9"/>
        </w:rPr>
        <w:t>（一）资产负债规模平稳增长，机</w:t>
      </w:r>
      <w:r>
        <w:rPr>
          <w:sz w:val="24"/>
          <w:szCs w:val="24"/>
          <w:color w:val="231F20"/>
          <w:spacing w:val="4"/>
        </w:rPr>
        <w:t xml:space="preserve"> </w:t>
      </w:r>
      <w:r>
        <w:rPr>
          <w:sz w:val="24"/>
          <w:szCs w:val="24"/>
          <w:color w:val="231F20"/>
          <w:spacing w:val="-2"/>
        </w:rPr>
        <w:t>构体系保持稳定</w:t>
      </w:r>
    </w:p>
    <w:p>
      <w:pPr>
        <w:pStyle w:val="BodyText"/>
        <w:ind w:left="5" w:right="355" w:firstLine="431"/>
        <w:spacing w:before="104" w:line="255" w:lineRule="auto"/>
        <w:jc w:val="both"/>
        <w:rPr/>
      </w:pPr>
      <w:r>
        <w:rPr>
          <w:color w:val="231F20"/>
          <w:spacing w:val="23"/>
        </w:rPr>
        <w:t>资产负债规模平稳增长，增速略有回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落。截至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年末，银行业金融机构资产总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额</w:t>
      </w:r>
      <w:r>
        <w:rPr>
          <w:rFonts w:ascii="Times New Roman" w:hAnsi="Times New Roman" w:eastAsia="Times New Roman" w:cs="Times New Roman"/>
          <w:color w:val="231F20"/>
          <w:spacing w:val="3"/>
        </w:rPr>
        <w:t>444.57</w:t>
      </w:r>
      <w:r>
        <w:rPr>
          <w:color w:val="231F20"/>
          <w:spacing w:val="3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3"/>
        </w:rPr>
        <w:t>6.54%</w:t>
      </w:r>
      <w:r>
        <w:rPr>
          <w:color w:val="231F20"/>
          <w:spacing w:val="3"/>
        </w:rPr>
        <w:t>，增速较上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  <w:spacing w:val="11"/>
        </w:rPr>
        <w:t>年回落</w:t>
      </w:r>
      <w:r>
        <w:rPr>
          <w:rFonts w:ascii="Times New Roman" w:hAnsi="Times New Roman" w:eastAsia="Times New Roman" w:cs="Times New Roman"/>
          <w:color w:val="231F20"/>
          <w:spacing w:val="11"/>
        </w:rPr>
        <w:t>3.39</w:t>
      </w:r>
      <w:r>
        <w:rPr>
          <w:color w:val="231F20"/>
          <w:spacing w:val="11"/>
        </w:rPr>
        <w:t>个百分点；负债总额</w:t>
      </w:r>
      <w:r>
        <w:rPr>
          <w:rFonts w:ascii="Times New Roman" w:hAnsi="Times New Roman" w:eastAsia="Times New Roman" w:cs="Times New Roman"/>
          <w:color w:val="231F20"/>
          <w:spacing w:val="11"/>
        </w:rPr>
        <w:t>408.11</w:t>
      </w:r>
      <w:r>
        <w:rPr>
          <w:color w:val="231F20"/>
          <w:spacing w:val="11"/>
        </w:rPr>
        <w:t>万亿 </w:t>
      </w:r>
      <w:r>
        <w:rPr>
          <w:color w:val="231F20"/>
          <w:spacing w:val="13"/>
        </w:rPr>
        <w:t>元，同比增长</w:t>
      </w:r>
      <w:r>
        <w:rPr>
          <w:rFonts w:ascii="Times New Roman" w:hAnsi="Times New Roman" w:eastAsia="Times New Roman" w:cs="Times New Roman"/>
          <w:color w:val="231F20"/>
          <w:spacing w:val="13"/>
        </w:rPr>
        <w:t>6.52%</w:t>
      </w:r>
      <w:r>
        <w:rPr>
          <w:color w:val="231F20"/>
          <w:spacing w:val="13"/>
        </w:rPr>
        <w:t>，增速较上年回落</w:t>
      </w:r>
      <w:r>
        <w:rPr>
          <w:rFonts w:ascii="Times New Roman" w:hAnsi="Times New Roman" w:eastAsia="Times New Roman" w:cs="Times New Roman"/>
          <w:color w:val="231F20"/>
          <w:spacing w:val="13"/>
        </w:rPr>
        <w:t>3.57 </w:t>
      </w:r>
      <w:r>
        <w:rPr>
          <w:color w:val="231F20"/>
          <w:spacing w:val="9"/>
        </w:rPr>
        <w:t>个百分点（见图</w:t>
      </w:r>
      <w:r>
        <w:rPr>
          <w:rFonts w:ascii="Times New Roman" w:hAnsi="Times New Roman" w:eastAsia="Times New Roman" w:cs="Times New Roman"/>
          <w:color w:val="231F20"/>
          <w:spacing w:val="9"/>
        </w:rPr>
        <w:t>2</w:t>
      </w:r>
      <w:r>
        <w:rPr>
          <w:color w:val="231F20"/>
          <w:spacing w:val="9"/>
        </w:rPr>
        <w:t>-</w:t>
      </w:r>
      <w:r>
        <w:rPr>
          <w:rFonts w:ascii="Times New Roman" w:hAnsi="Times New Roman" w:eastAsia="Times New Roman" w:cs="Times New Roman"/>
          <w:color w:val="231F20"/>
          <w:spacing w:val="9"/>
        </w:rPr>
        <w:t>1</w:t>
      </w:r>
      <w:r>
        <w:rPr>
          <w:color w:val="231F20"/>
          <w:spacing w:val="9"/>
        </w:rPr>
        <w:t>）。其中</w:t>
      </w:r>
      <w:r>
        <w:rPr>
          <w:rFonts w:ascii="Times New Roman" w:hAnsi="Times New Roman" w:eastAsia="Times New Roman" w:cs="Times New Roman"/>
          <w:color w:val="231F20"/>
          <w:spacing w:val="9"/>
        </w:rPr>
        <w:t>6</w:t>
      </w:r>
      <w:r>
        <w:rPr>
          <w:color w:val="231F20"/>
          <w:spacing w:val="9"/>
        </w:rPr>
        <w:t>家国有大型商</w:t>
      </w:r>
    </w:p>
    <w:p>
      <w:pPr>
        <w:pStyle w:val="BodyText"/>
        <w:ind w:left="1308"/>
        <w:spacing w:before="348" w:line="133" w:lineRule="exact"/>
        <w:rPr>
          <w:sz w:val="13"/>
          <w:szCs w:val="13"/>
        </w:rPr>
      </w:pPr>
      <w:r>
        <w:rPr>
          <w:sz w:val="13"/>
          <w:szCs w:val="13"/>
          <w:color w:val="231F20"/>
        </w:rPr>
        <w:drawing>
          <wp:inline distT="0" distB="0" distL="0" distR="0">
            <wp:extent cx="127228" cy="43269"/>
            <wp:effectExtent l="0" t="0" r="0" b="0"/>
            <wp:docPr id="98" name="IM 98"/>
            <wp:cNvGraphicFramePr/>
            <a:graphic>
              <a:graphicData uri="http://schemas.openxmlformats.org/drawingml/2006/picture">
                <pic:pic>
                  <pic:nvPicPr>
                    <pic:cNvPr id="98" name="IM 9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228" cy="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4"/>
          <w:w w:val="102"/>
          <w:position w:val="-1"/>
        </w:rPr>
        <w:t xml:space="preserve"> </w:t>
      </w:r>
      <w:r>
        <w:rPr>
          <w:sz w:val="13"/>
          <w:szCs w:val="13"/>
          <w:color w:val="231F20"/>
          <w:spacing w:val="4"/>
          <w:position w:val="-1"/>
        </w:rPr>
        <w:t>资产</w:t>
      </w:r>
      <w:r>
        <w:rPr>
          <w:sz w:val="13"/>
          <w:szCs w:val="13"/>
          <w:color w:val="231F20"/>
          <w:spacing w:val="1"/>
          <w:position w:val="-1"/>
        </w:rPr>
        <w:t xml:space="preserve">                 </w:t>
      </w:r>
      <w:r>
        <w:rPr>
          <w:sz w:val="13"/>
          <w:szCs w:val="13"/>
        </w:rPr>
        <w:drawing>
          <wp:inline distT="0" distB="0" distL="0" distR="0">
            <wp:extent cx="127266" cy="43269"/>
            <wp:effectExtent l="0" t="0" r="0" b="0"/>
            <wp:docPr id="100" name="IM 100"/>
            <wp:cNvGraphicFramePr/>
            <a:graphic>
              <a:graphicData uri="http://schemas.openxmlformats.org/drawingml/2006/picture">
                <pic:pic>
                  <pic:nvPicPr>
                    <pic:cNvPr id="100" name="IM 10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266" cy="4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33"/>
          <w:w w:val="102"/>
          <w:position w:val="-1"/>
        </w:rPr>
        <w:t xml:space="preserve"> </w:t>
      </w:r>
      <w:r>
        <w:rPr>
          <w:sz w:val="13"/>
          <w:szCs w:val="13"/>
          <w:color w:val="231F20"/>
          <w:spacing w:val="4"/>
          <w:position w:val="-1"/>
        </w:rPr>
        <w:t>负债</w:t>
      </w:r>
    </w:p>
    <w:p>
      <w:pPr>
        <w:ind w:firstLine="66"/>
        <w:spacing w:before="27" w:line="2315" w:lineRule="exact"/>
        <w:rPr/>
      </w:pPr>
      <w:r>
        <w:drawing>
          <wp:anchor distT="0" distB="0" distL="0" distR="0" simplePos="0" relativeHeight="251813888" behindDoc="1" locked="0" layoutInCell="1" allowOverlap="1">
            <wp:simplePos x="0" y="0"/>
            <wp:positionH relativeFrom="column">
              <wp:posOffset>336646</wp:posOffset>
            </wp:positionH>
            <wp:positionV relativeFrom="paragraph">
              <wp:posOffset>963890</wp:posOffset>
            </wp:positionV>
            <wp:extent cx="115163" cy="410362"/>
            <wp:effectExtent l="0" t="0" r="0" b="0"/>
            <wp:wrapNone/>
            <wp:docPr id="102" name="IM 102"/>
            <wp:cNvGraphicFramePr/>
            <a:graphic>
              <a:graphicData uri="http://schemas.openxmlformats.org/drawingml/2006/picture">
                <pic:pic>
                  <pic:nvPicPr>
                    <pic:cNvPr id="102" name="IM 10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63" cy="410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2864" behindDoc="1" locked="0" layoutInCell="1" allowOverlap="1">
            <wp:simplePos x="0" y="0"/>
            <wp:positionH relativeFrom="column">
              <wp:posOffset>538195</wp:posOffset>
            </wp:positionH>
            <wp:positionV relativeFrom="paragraph">
              <wp:posOffset>899577</wp:posOffset>
            </wp:positionV>
            <wp:extent cx="115176" cy="474675"/>
            <wp:effectExtent l="0" t="0" r="0" b="0"/>
            <wp:wrapNone/>
            <wp:docPr id="104" name="IM 104"/>
            <wp:cNvGraphicFramePr/>
            <a:graphic>
              <a:graphicData uri="http://schemas.openxmlformats.org/drawingml/2006/picture">
                <pic:pic>
                  <pic:nvPicPr>
                    <pic:cNvPr id="104" name="IM 10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76" cy="47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4128" behindDoc="1" locked="0" layoutInCell="1" allowOverlap="1">
            <wp:simplePos x="0" y="0"/>
            <wp:positionH relativeFrom="column">
              <wp:posOffset>739744</wp:posOffset>
            </wp:positionH>
            <wp:positionV relativeFrom="paragraph">
              <wp:posOffset>847240</wp:posOffset>
            </wp:positionV>
            <wp:extent cx="115176" cy="527012"/>
            <wp:effectExtent l="0" t="0" r="0" b="0"/>
            <wp:wrapNone/>
            <wp:docPr id="106" name="IM 106"/>
            <wp:cNvGraphicFramePr/>
            <a:graphic>
              <a:graphicData uri="http://schemas.openxmlformats.org/drawingml/2006/picture">
                <pic:pic>
                  <pic:nvPicPr>
                    <pic:cNvPr id="106" name="IM 10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76" cy="527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7984" behindDoc="1" locked="0" layoutInCell="1" allowOverlap="1">
            <wp:simplePos x="0" y="0"/>
            <wp:positionH relativeFrom="column">
              <wp:posOffset>941306</wp:posOffset>
            </wp:positionH>
            <wp:positionV relativeFrom="paragraph">
              <wp:posOffset>773250</wp:posOffset>
            </wp:positionV>
            <wp:extent cx="115163" cy="601002"/>
            <wp:effectExtent l="0" t="0" r="0" b="0"/>
            <wp:wrapNone/>
            <wp:docPr id="108" name="IM 108"/>
            <wp:cNvGraphicFramePr/>
            <a:graphic>
              <a:graphicData uri="http://schemas.openxmlformats.org/drawingml/2006/picture">
                <pic:pic>
                  <pic:nvPicPr>
                    <pic:cNvPr id="108" name="IM 1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63" cy="60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6960" behindDoc="1" locked="0" layoutInCell="1" allowOverlap="1">
            <wp:simplePos x="0" y="0"/>
            <wp:positionH relativeFrom="column">
              <wp:posOffset>1142855</wp:posOffset>
            </wp:positionH>
            <wp:positionV relativeFrom="paragraph">
              <wp:posOffset>735544</wp:posOffset>
            </wp:positionV>
            <wp:extent cx="115176" cy="638708"/>
            <wp:effectExtent l="0" t="0" r="0" b="0"/>
            <wp:wrapNone/>
            <wp:docPr id="110" name="IM 110"/>
            <wp:cNvGraphicFramePr/>
            <a:graphic>
              <a:graphicData uri="http://schemas.openxmlformats.org/drawingml/2006/picture">
                <pic:pic>
                  <pic:nvPicPr>
                    <pic:cNvPr id="110" name="IM 1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76" cy="638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4912" behindDoc="1" locked="0" layoutInCell="1" allowOverlap="1">
            <wp:simplePos x="0" y="0"/>
            <wp:positionH relativeFrom="column">
              <wp:posOffset>1344404</wp:posOffset>
            </wp:positionH>
            <wp:positionV relativeFrom="paragraph">
              <wp:posOffset>683715</wp:posOffset>
            </wp:positionV>
            <wp:extent cx="115176" cy="690537"/>
            <wp:effectExtent l="0" t="0" r="0" b="0"/>
            <wp:wrapNone/>
            <wp:docPr id="112" name="IM 112"/>
            <wp:cNvGraphicFramePr/>
            <a:graphic>
              <a:graphicData uri="http://schemas.openxmlformats.org/drawingml/2006/picture">
                <pic:pic>
                  <pic:nvPicPr>
                    <pic:cNvPr id="112" name="IM 11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76" cy="6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9792" behindDoc="1" locked="0" layoutInCell="1" allowOverlap="1">
            <wp:simplePos x="0" y="0"/>
            <wp:positionH relativeFrom="column">
              <wp:posOffset>1545965</wp:posOffset>
            </wp:positionH>
            <wp:positionV relativeFrom="paragraph">
              <wp:posOffset>614107</wp:posOffset>
            </wp:positionV>
            <wp:extent cx="115163" cy="760145"/>
            <wp:effectExtent l="0" t="0" r="0" b="0"/>
            <wp:wrapNone/>
            <wp:docPr id="114" name="IM 114"/>
            <wp:cNvGraphicFramePr/>
            <a:graphic>
              <a:graphicData uri="http://schemas.openxmlformats.org/drawingml/2006/picture">
                <pic:pic>
                  <pic:nvPicPr>
                    <pic:cNvPr id="114" name="IM 114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63" cy="76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0816" behindDoc="1" locked="0" layoutInCell="1" allowOverlap="1">
            <wp:simplePos x="0" y="0"/>
            <wp:positionH relativeFrom="column">
              <wp:posOffset>1747515</wp:posOffset>
            </wp:positionH>
            <wp:positionV relativeFrom="paragraph">
              <wp:posOffset>553337</wp:posOffset>
            </wp:positionV>
            <wp:extent cx="115163" cy="820915"/>
            <wp:effectExtent l="0" t="0" r="0" b="0"/>
            <wp:wrapNone/>
            <wp:docPr id="116" name="IM 116"/>
            <wp:cNvGraphicFramePr/>
            <a:graphic>
              <a:graphicData uri="http://schemas.openxmlformats.org/drawingml/2006/picture">
                <pic:pic>
                  <pic:nvPicPr>
                    <pic:cNvPr id="116" name="IM 11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63" cy="82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5936" behindDoc="1" locked="0" layoutInCell="1" allowOverlap="1">
            <wp:simplePos x="0" y="0"/>
            <wp:positionH relativeFrom="column">
              <wp:posOffset>1949064</wp:posOffset>
            </wp:positionH>
            <wp:positionV relativeFrom="paragraph">
              <wp:posOffset>470889</wp:posOffset>
            </wp:positionV>
            <wp:extent cx="115176" cy="903363"/>
            <wp:effectExtent l="0" t="0" r="0" b="0"/>
            <wp:wrapNone/>
            <wp:docPr id="118" name="IM 118"/>
            <wp:cNvGraphicFramePr/>
            <a:graphic>
              <a:graphicData uri="http://schemas.openxmlformats.org/drawingml/2006/picture">
                <pic:pic>
                  <pic:nvPicPr>
                    <pic:cNvPr id="118" name="IM 11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76" cy="90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0032" behindDoc="1" locked="0" layoutInCell="1" allowOverlap="1">
            <wp:simplePos x="0" y="0"/>
            <wp:positionH relativeFrom="column">
              <wp:posOffset>2150625</wp:posOffset>
            </wp:positionH>
            <wp:positionV relativeFrom="paragraph">
              <wp:posOffset>380630</wp:posOffset>
            </wp:positionV>
            <wp:extent cx="115163" cy="993622"/>
            <wp:effectExtent l="0" t="0" r="0" b="0"/>
            <wp:wrapNone/>
            <wp:docPr id="120" name="IM 120"/>
            <wp:cNvGraphicFramePr/>
            <a:graphic>
              <a:graphicData uri="http://schemas.openxmlformats.org/drawingml/2006/picture">
                <pic:pic>
                  <pic:nvPicPr>
                    <pic:cNvPr id="120" name="IM 12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63" cy="993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2080" behindDoc="1" locked="0" layoutInCell="1" allowOverlap="1">
            <wp:simplePos x="0" y="0"/>
            <wp:positionH relativeFrom="column">
              <wp:posOffset>2352174</wp:posOffset>
            </wp:positionH>
            <wp:positionV relativeFrom="paragraph">
              <wp:posOffset>315669</wp:posOffset>
            </wp:positionV>
            <wp:extent cx="115163" cy="1058583"/>
            <wp:effectExtent l="0" t="0" r="0" b="0"/>
            <wp:wrapNone/>
            <wp:docPr id="122" name="IM 122"/>
            <wp:cNvGraphicFramePr/>
            <a:graphic>
              <a:graphicData uri="http://schemas.openxmlformats.org/drawingml/2006/picture">
                <pic:pic>
                  <pic:nvPicPr>
                    <pic:cNvPr id="122" name="IM 12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163" cy="105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6"/>
        </w:rPr>
        <w:drawing>
          <wp:inline distT="0" distB="0" distL="0" distR="0">
            <wp:extent cx="2578909" cy="1470347"/>
            <wp:effectExtent l="0" t="0" r="0" b="0"/>
            <wp:docPr id="124" name="IM 124"/>
            <wp:cNvGraphicFramePr/>
            <a:graphic>
              <a:graphicData uri="http://schemas.openxmlformats.org/drawingml/2006/picture">
                <pic:pic>
                  <pic:nvPicPr>
                    <pic:cNvPr id="124" name="IM 12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8909" cy="1470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13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图2-1    银行业金融机构资产负债情况</w:t>
      </w:r>
    </w:p>
    <w:p>
      <w:pPr>
        <w:pStyle w:val="BodyText"/>
        <w:ind w:left="919"/>
        <w:spacing w:before="30" w:line="168" w:lineRule="auto"/>
        <w:rPr>
          <w:sz w:val="18"/>
          <w:szCs w:val="18"/>
        </w:rPr>
      </w:pPr>
      <w:r>
        <w:pict>
          <v:shape id="_x0000_s100" style="position:absolute;margin-left:0.25pt;margin-top:46.1596pt;mso-position-vertical-relative:text;mso-position-horizontal-relative:text;width:90.75pt;height:0.5pt;z-index:251832320;" filled="false" strokecolor="#231F20" strokeweight="0.50pt" coordsize="1815,10" coordorigin="0,0" path="m0,5l1814,5e">
            <v:stroke joinstyle="miter" miterlimit="10"/>
          </v:shape>
        </w:pict>
      </w:r>
      <w:r>
        <w:rPr>
          <w:sz w:val="18"/>
          <w:szCs w:val="18"/>
          <w:color w:val="231F20"/>
          <w:spacing w:val="1"/>
        </w:rPr>
        <w:t>（数据来源：金融监管总局）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"/>
        <w:spacing w:before="42" w:line="249" w:lineRule="auto"/>
        <w:jc w:val="both"/>
        <w:rPr/>
      </w:pPr>
      <w:r>
        <w:rPr>
          <w:color w:val="231F20"/>
          <w:spacing w:val="9"/>
        </w:rPr>
        <w:t>业银行、城市商业银行资产分别占银行业总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资产的</w:t>
      </w:r>
      <w:r>
        <w:rPr>
          <w:rFonts w:ascii="Times New Roman" w:hAnsi="Times New Roman" w:eastAsia="Times New Roman" w:cs="Times New Roman"/>
          <w:color w:val="231F20"/>
          <w:spacing w:val="4"/>
        </w:rPr>
        <w:t>42.80%</w:t>
      </w:r>
      <w:r>
        <w:rPr>
          <w:rFonts w:ascii="Times New Roman" w:hAnsi="Times New Roman" w:eastAsia="Times New Roman" w:cs="Times New Roman"/>
          <w:color w:val="231F20"/>
          <w:spacing w:val="-7"/>
        </w:rPr>
        <w:t xml:space="preserve"> </w:t>
      </w:r>
      <w:r>
        <w:rPr>
          <w:color w:val="231F20"/>
          <w:spacing w:val="4"/>
        </w:rPr>
        <w:t>、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13.53%</w:t>
      </w:r>
      <w:r>
        <w:rPr>
          <w:color w:val="231F20"/>
          <w:spacing w:val="4"/>
        </w:rPr>
        <w:t>，较上年末上升</w:t>
      </w:r>
      <w:r>
        <w:rPr>
          <w:rFonts w:ascii="Times New Roman" w:hAnsi="Times New Roman" w:eastAsia="Times New Roman" w:cs="Times New Roman"/>
          <w:color w:val="231F20"/>
          <w:spacing w:val="4"/>
        </w:rPr>
        <w:t>0.44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9"/>
        </w:rPr>
        <w:t>个、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9"/>
        </w:rPr>
        <w:t>0.30</w:t>
      </w:r>
      <w:r>
        <w:rPr>
          <w:color w:val="231F20"/>
          <w:spacing w:val="9"/>
        </w:rPr>
        <w:t>个百分点，股份制商业银行、农村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金融机构资产分别占银行业总资产的</w:t>
      </w:r>
      <w:r>
        <w:rPr>
          <w:rFonts w:ascii="Times New Roman" w:hAnsi="Times New Roman" w:eastAsia="Times New Roman" w:cs="Times New Roman"/>
          <w:color w:val="231F20"/>
          <w:spacing w:val="7"/>
        </w:rPr>
        <w:t>16.</w:t>
      </w:r>
      <w:r>
        <w:rPr>
          <w:rFonts w:ascii="Times New Roman" w:hAnsi="Times New Roman" w:eastAsia="Times New Roman" w:cs="Times New Roman"/>
          <w:color w:val="231F20"/>
          <w:spacing w:val="6"/>
        </w:rPr>
        <w:t>69%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8"/>
        </w:rPr>
        <w:t>和</w:t>
      </w:r>
      <w:r>
        <w:rPr>
          <w:rFonts w:ascii="Times New Roman" w:hAnsi="Times New Roman" w:eastAsia="Times New Roman" w:cs="Times New Roman"/>
          <w:color w:val="231F20"/>
          <w:spacing w:val="8"/>
        </w:rPr>
        <w:t>13.03%</w:t>
      </w:r>
      <w:r>
        <w:rPr>
          <w:color w:val="231F20"/>
          <w:spacing w:val="8"/>
        </w:rPr>
        <w:t>，较上年末下降</w:t>
      </w:r>
      <w:r>
        <w:rPr>
          <w:rFonts w:ascii="Times New Roman" w:hAnsi="Times New Roman" w:eastAsia="Times New Roman" w:cs="Times New Roman"/>
          <w:color w:val="231F20"/>
          <w:spacing w:val="8"/>
        </w:rPr>
        <w:t>0.30</w:t>
      </w:r>
      <w:r>
        <w:rPr>
          <w:color w:val="231F20"/>
          <w:spacing w:val="8"/>
        </w:rPr>
        <w:t>个、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0.06</w:t>
      </w:r>
      <w:r>
        <w:rPr>
          <w:color w:val="231F20"/>
          <w:spacing w:val="8"/>
        </w:rPr>
        <w:t>个百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分点。</w:t>
      </w:r>
    </w:p>
    <w:p>
      <w:pPr>
        <w:pStyle w:val="BodyText"/>
        <w:ind w:firstLine="422"/>
        <w:spacing w:before="21" w:line="250" w:lineRule="auto"/>
        <w:rPr/>
      </w:pPr>
      <w:r>
        <w:rPr>
          <w:color w:val="231F20"/>
          <w:spacing w:val="3"/>
        </w:rPr>
        <w:t>存款和贷款规模保持增长。  截至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3"/>
        </w:rPr>
        <w:t>末，金融机构</w:t>
      </w:r>
      <w:r>
        <w:rPr>
          <w:color w:val="231F20"/>
          <w:spacing w:val="-24"/>
        </w:rPr>
        <w:t xml:space="preserve"> 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13"/>
          <w:position w:val="8"/>
        </w:rPr>
        <w:t>①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-22"/>
          <w:position w:val="8"/>
        </w:rPr>
        <w:t xml:space="preserve"> </w:t>
      </w:r>
      <w:r>
        <w:rPr>
          <w:color w:val="231F20"/>
          <w:spacing w:val="13"/>
        </w:rPr>
        <w:t>本外币各项存款余额</w:t>
      </w:r>
      <w:r>
        <w:rPr>
          <w:rFonts w:ascii="Times New Roman" w:hAnsi="Times New Roman" w:eastAsia="Times New Roman" w:cs="Times New Roman"/>
          <w:color w:val="231F20"/>
          <w:spacing w:val="13"/>
        </w:rPr>
        <w:t>308.38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12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12"/>
        </w:rPr>
        <w:t>6.37%</w:t>
      </w:r>
      <w:r>
        <w:rPr>
          <w:color w:val="231F20"/>
          <w:spacing w:val="12"/>
        </w:rPr>
        <w:t>，增速较上年下降</w:t>
      </w:r>
      <w:r>
        <w:rPr>
          <w:color w:val="231F20"/>
          <w:spacing w:val="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0"/>
        </w:rPr>
        <w:t>3.26</w:t>
      </w:r>
      <w:r>
        <w:rPr>
          <w:color w:val="231F20"/>
          <w:spacing w:val="10"/>
        </w:rPr>
        <w:t>个百分点；金融机构本外币各项贷款余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3"/>
        </w:rPr>
        <w:t>额</w:t>
      </w:r>
      <w:r>
        <w:rPr>
          <w:rFonts w:ascii="Times New Roman" w:hAnsi="Times New Roman" w:eastAsia="Times New Roman" w:cs="Times New Roman"/>
          <w:color w:val="231F20"/>
          <w:spacing w:val="13"/>
        </w:rPr>
        <w:t>259.58</w:t>
      </w:r>
      <w:r>
        <w:rPr>
          <w:color w:val="231F20"/>
          <w:spacing w:val="13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13"/>
        </w:rPr>
        <w:t>7.16</w:t>
      </w:r>
      <w:r>
        <w:rPr>
          <w:rFonts w:ascii="Times New Roman" w:hAnsi="Times New Roman" w:eastAsia="Times New Roman" w:cs="Times New Roman"/>
          <w:color w:val="231F20"/>
          <w:spacing w:val="12"/>
        </w:rPr>
        <w:t>%</w:t>
      </w:r>
      <w:r>
        <w:rPr>
          <w:color w:val="231F20"/>
          <w:spacing w:val="12"/>
        </w:rPr>
        <w:t>，增速较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上年下降</w:t>
      </w:r>
      <w:r>
        <w:rPr>
          <w:rFonts w:ascii="Times New Roman" w:hAnsi="Times New Roman" w:eastAsia="Times New Roman" w:cs="Times New Roman"/>
          <w:color w:val="231F20"/>
          <w:spacing w:val="6"/>
        </w:rPr>
        <w:t>3.40</w:t>
      </w:r>
      <w:r>
        <w:rPr>
          <w:color w:val="231F20"/>
          <w:spacing w:val="6"/>
        </w:rPr>
        <w:t>个百分点（见图</w:t>
      </w:r>
      <w:r>
        <w:rPr>
          <w:rFonts w:ascii="Times New Roman" w:hAnsi="Times New Roman" w:eastAsia="Times New Roman" w:cs="Times New Roman"/>
          <w:color w:val="231F20"/>
          <w:spacing w:val="6"/>
        </w:rPr>
        <w:t>2</w:t>
      </w:r>
      <w:r>
        <w:rPr>
          <w:color w:val="231F20"/>
          <w:spacing w:val="6"/>
        </w:rPr>
        <w:t>-</w:t>
      </w:r>
      <w:r>
        <w:rPr>
          <w:rFonts w:ascii="Times New Roman" w:hAnsi="Times New Roman" w:eastAsia="Times New Roman" w:cs="Times New Roman"/>
          <w:color w:val="231F20"/>
          <w:spacing w:val="6"/>
        </w:rPr>
        <w:t>2</w:t>
      </w:r>
      <w:r>
        <w:rPr>
          <w:color w:val="231F20"/>
          <w:spacing w:val="6"/>
        </w:rPr>
        <w:t>）。从贷款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0"/>
        </w:rPr>
        <w:t>期限看，中长期贷款</w:t>
      </w:r>
      <w:r>
        <w:rPr>
          <w:rFonts w:ascii="Times New Roman" w:hAnsi="Times New Roman" w:eastAsia="Times New Roman" w:cs="Times New Roman"/>
          <w:color w:val="231F20"/>
          <w:spacing w:val="10"/>
        </w:rPr>
        <w:t>171.37</w:t>
      </w:r>
      <w:r>
        <w:rPr>
          <w:color w:val="231F20"/>
          <w:spacing w:val="10"/>
        </w:rPr>
        <w:t>万亿元，同比增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2"/>
        </w:rPr>
        <w:t>长</w:t>
      </w:r>
      <w:r>
        <w:rPr>
          <w:rFonts w:ascii="Times New Roman" w:hAnsi="Times New Roman" w:eastAsia="Times New Roman" w:cs="Times New Roman"/>
          <w:color w:val="231F20"/>
          <w:spacing w:val="12"/>
        </w:rPr>
        <w:t>7.66%</w:t>
      </w:r>
      <w:r>
        <w:rPr>
          <w:color w:val="231F20"/>
          <w:spacing w:val="12"/>
        </w:rPr>
        <w:t>，其中企（事）业单位中长期贷款</w:t>
      </w:r>
      <w:r>
        <w:rPr>
          <w:color w:val="231F20"/>
          <w:spacing w:val="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109.72</w:t>
      </w:r>
      <w:r>
        <w:rPr>
          <w:color w:val="231F20"/>
          <w:spacing w:val="12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12"/>
        </w:rPr>
        <w:t>9.95%</w:t>
      </w:r>
      <w:r>
        <w:rPr>
          <w:color w:val="231F20"/>
          <w:spacing w:val="12"/>
        </w:rPr>
        <w:t>。分机构类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11"/>
        </w:rPr>
        <w:t>型看， </w:t>
      </w:r>
      <w:r>
        <w:rPr>
          <w:rFonts w:ascii="Times New Roman" w:hAnsi="Times New Roman" w:eastAsia="Times New Roman" w:cs="Times New Roman"/>
          <w:color w:val="231F20"/>
          <w:spacing w:val="11"/>
        </w:rPr>
        <w:t>6</w:t>
      </w:r>
      <w:r>
        <w:rPr>
          <w:color w:val="231F20"/>
          <w:spacing w:val="11"/>
        </w:rPr>
        <w:t>家国有大型商业银行和国家开发银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0"/>
        </w:rPr>
        <w:t>行人民币存款、贷款同比分别增长</w:t>
      </w:r>
      <w:r>
        <w:rPr>
          <w:rFonts w:ascii="Times New Roman" w:hAnsi="Times New Roman" w:eastAsia="Times New Roman" w:cs="Times New Roman"/>
          <w:color w:val="231F20"/>
          <w:spacing w:val="10"/>
        </w:rPr>
        <w:t>6.05%</w:t>
      </w:r>
      <w:r>
        <w:rPr>
          <w:rFonts w:ascii="Times New Roman" w:hAnsi="Times New Roman" w:eastAsia="Times New Roman" w:cs="Times New Roman"/>
          <w:color w:val="231F20"/>
          <w:spacing w:val="-2"/>
        </w:rPr>
        <w:t xml:space="preserve"> </w:t>
      </w:r>
      <w:r>
        <w:rPr>
          <w:color w:val="231F20"/>
          <w:spacing w:val="10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9</w:t>
      </w:r>
      <w:r>
        <w:rPr>
          <w:rFonts w:ascii="Times New Roman" w:hAnsi="Times New Roman" w:eastAsia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.</w:t>
      </w:r>
      <w:r>
        <w:rPr>
          <w:rFonts w:ascii="Times New Roman" w:hAnsi="Times New Roman" w:eastAsia="Times New Roman" w:cs="Times New Roman"/>
          <w:color w:val="231F20"/>
          <w:spacing w:val="-2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29% </w:t>
      </w:r>
      <w:r>
        <w:rPr>
          <w:color w:val="231F20"/>
          <w:spacing w:val="11"/>
        </w:rPr>
        <w:t>，其他银行同比分别增长</w:t>
      </w:r>
      <w:r>
        <w:rPr>
          <w:color w:val="231F20"/>
          <w:spacing w:val="-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7</w:t>
      </w:r>
      <w:r>
        <w:rPr>
          <w:rFonts w:ascii="Times New Roman" w:hAnsi="Times New Roman" w:eastAsia="Times New Roman" w:cs="Times New Roman"/>
          <w:color w:val="231F20"/>
          <w:spacing w:val="-1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.</w:t>
      </w:r>
      <w:r>
        <w:rPr>
          <w:rFonts w:ascii="Times New Roman" w:hAnsi="Times New Roman" w:eastAsia="Times New Roman" w:cs="Times New Roman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32% </w:t>
      </w:r>
      <w:r>
        <w:rPr>
          <w:color w:val="231F20"/>
          <w:spacing w:val="11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6.83%</w:t>
      </w:r>
      <w:r>
        <w:rPr>
          <w:color w:val="231F20"/>
          <w:spacing w:val="-1"/>
        </w:rPr>
        <w:t>。</w:t>
      </w:r>
    </w:p>
    <w:p>
      <w:pPr>
        <w:pStyle w:val="BodyText"/>
        <w:ind w:left="777"/>
        <w:spacing w:before="251" w:line="136" w:lineRule="exact"/>
        <w:rPr>
          <w:sz w:val="13"/>
          <w:szCs w:val="13"/>
        </w:rPr>
      </w:pPr>
      <w:r>
        <w:rPr>
          <w:sz w:val="13"/>
          <w:szCs w:val="13"/>
          <w:color w:val="231F20"/>
        </w:rPr>
        <w:drawing>
          <wp:inline distT="0" distB="0" distL="0" distR="0">
            <wp:extent cx="127215" cy="43281"/>
            <wp:effectExtent l="0" t="0" r="0" b="0"/>
            <wp:docPr id="126" name="IM 126"/>
            <wp:cNvGraphicFramePr/>
            <a:graphic>
              <a:graphicData uri="http://schemas.openxmlformats.org/drawingml/2006/picture">
                <pic:pic>
                  <pic:nvPicPr>
                    <pic:cNvPr id="126" name="IM 12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215" cy="4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4"/>
          <w:w w:val="103"/>
          <w:position w:val="-1"/>
        </w:rPr>
        <w:t xml:space="preserve"> </w:t>
      </w:r>
      <w:r>
        <w:rPr>
          <w:sz w:val="13"/>
          <w:szCs w:val="13"/>
          <w:color w:val="231F20"/>
          <w:spacing w:val="5"/>
          <w:position w:val="-1"/>
        </w:rPr>
        <w:t>各项贷款余额</w:t>
      </w:r>
      <w:r>
        <w:rPr>
          <w:sz w:val="13"/>
          <w:szCs w:val="13"/>
          <w:color w:val="231F20"/>
          <w:spacing w:val="5"/>
          <w:position w:val="-1"/>
        </w:rPr>
        <w:t xml:space="preserve">          </w:t>
      </w:r>
      <w:r>
        <w:rPr>
          <w:sz w:val="13"/>
          <w:szCs w:val="13"/>
        </w:rPr>
        <w:drawing>
          <wp:inline distT="0" distB="0" distL="0" distR="0">
            <wp:extent cx="127279" cy="43281"/>
            <wp:effectExtent l="0" t="0" r="0" b="0"/>
            <wp:docPr id="128" name="IM 128"/>
            <wp:cNvGraphicFramePr/>
            <a:graphic>
              <a:graphicData uri="http://schemas.openxmlformats.org/drawingml/2006/picture">
                <pic:pic>
                  <pic:nvPicPr>
                    <pic:cNvPr id="128" name="IM 12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279" cy="4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9"/>
          <w:position w:val="-1"/>
        </w:rPr>
        <w:t xml:space="preserve"> </w:t>
      </w:r>
      <w:r>
        <w:rPr>
          <w:sz w:val="13"/>
          <w:szCs w:val="13"/>
          <w:color w:val="231F20"/>
          <w:spacing w:val="5"/>
          <w:position w:val="-1"/>
        </w:rPr>
        <w:t>各项存款余额</w:t>
      </w:r>
    </w:p>
    <w:p>
      <w:pPr>
        <w:ind w:firstLine="12"/>
        <w:spacing w:before="43" w:line="2300" w:lineRule="exact"/>
        <w:rPr/>
      </w:pPr>
      <w:r>
        <w:drawing>
          <wp:anchor distT="0" distB="0" distL="0" distR="0" simplePos="0" relativeHeight="251811840" behindDoc="1" locked="0" layoutInCell="1" allowOverlap="1">
            <wp:simplePos x="0" y="0"/>
            <wp:positionH relativeFrom="column">
              <wp:posOffset>287115</wp:posOffset>
            </wp:positionH>
            <wp:positionV relativeFrom="paragraph">
              <wp:posOffset>956645</wp:posOffset>
            </wp:positionV>
            <wp:extent cx="96063" cy="422351"/>
            <wp:effectExtent l="0" t="0" r="0" b="0"/>
            <wp:wrapNone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63" cy="422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1296" behindDoc="1" locked="0" layoutInCell="1" allowOverlap="1">
            <wp:simplePos x="0" y="0"/>
            <wp:positionH relativeFrom="column">
              <wp:posOffset>475850</wp:posOffset>
            </wp:positionH>
            <wp:positionV relativeFrom="paragraph">
              <wp:posOffset>915980</wp:posOffset>
            </wp:positionV>
            <wp:extent cx="96049" cy="463016"/>
            <wp:effectExtent l="0" t="0" r="0" b="0"/>
            <wp:wrapNone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49" cy="46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30272" behindDoc="1" locked="0" layoutInCell="1" allowOverlap="1">
            <wp:simplePos x="0" y="0"/>
            <wp:positionH relativeFrom="column">
              <wp:posOffset>664572</wp:posOffset>
            </wp:positionH>
            <wp:positionV relativeFrom="paragraph">
              <wp:posOffset>827562</wp:posOffset>
            </wp:positionV>
            <wp:extent cx="96062" cy="551434"/>
            <wp:effectExtent l="0" t="0" r="0" b="0"/>
            <wp:wrapNone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62" cy="551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7200" behindDoc="1" locked="0" layoutInCell="1" allowOverlap="1">
            <wp:simplePos x="0" y="0"/>
            <wp:positionH relativeFrom="column">
              <wp:posOffset>853306</wp:posOffset>
            </wp:positionH>
            <wp:positionV relativeFrom="paragraph">
              <wp:posOffset>765472</wp:posOffset>
            </wp:positionV>
            <wp:extent cx="96049" cy="613524"/>
            <wp:effectExtent l="0" t="0" r="0" b="0"/>
            <wp:wrapNone/>
            <wp:docPr id="136" name="IM 136"/>
            <wp:cNvGraphicFramePr/>
            <a:graphic>
              <a:graphicData uri="http://schemas.openxmlformats.org/drawingml/2006/picture">
                <pic:pic>
                  <pic:nvPicPr>
                    <pic:cNvPr id="136" name="IM 13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49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19008" behindDoc="1" locked="0" layoutInCell="1" allowOverlap="1">
            <wp:simplePos x="0" y="0"/>
            <wp:positionH relativeFrom="column">
              <wp:posOffset>1042029</wp:posOffset>
            </wp:positionH>
            <wp:positionV relativeFrom="paragraph">
              <wp:posOffset>711230</wp:posOffset>
            </wp:positionV>
            <wp:extent cx="96049" cy="667766"/>
            <wp:effectExtent l="0" t="0" r="0" b="0"/>
            <wp:wrapNone/>
            <wp:docPr id="138" name="IM 138"/>
            <wp:cNvGraphicFramePr/>
            <a:graphic>
              <a:graphicData uri="http://schemas.openxmlformats.org/drawingml/2006/picture">
                <pic:pic>
                  <pic:nvPicPr>
                    <pic:cNvPr id="138" name="IM 13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49" cy="667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6176" behindDoc="1" locked="0" layoutInCell="1" allowOverlap="1">
            <wp:simplePos x="0" y="0"/>
            <wp:positionH relativeFrom="column">
              <wp:posOffset>1230751</wp:posOffset>
            </wp:positionH>
            <wp:positionV relativeFrom="paragraph">
              <wp:posOffset>658957</wp:posOffset>
            </wp:positionV>
            <wp:extent cx="96049" cy="720039"/>
            <wp:effectExtent l="0" t="0" r="0" b="0"/>
            <wp:wrapNone/>
            <wp:docPr id="140" name="IM 140"/>
            <wp:cNvGraphicFramePr/>
            <a:graphic>
              <a:graphicData uri="http://schemas.openxmlformats.org/drawingml/2006/picture">
                <pic:pic>
                  <pic:nvPicPr>
                    <pic:cNvPr id="140" name="IM 14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49" cy="720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3104" behindDoc="1" locked="0" layoutInCell="1" allowOverlap="1">
            <wp:simplePos x="0" y="0"/>
            <wp:positionH relativeFrom="column">
              <wp:posOffset>1419473</wp:posOffset>
            </wp:positionH>
            <wp:positionV relativeFrom="paragraph">
              <wp:posOffset>597260</wp:posOffset>
            </wp:positionV>
            <wp:extent cx="96062" cy="781736"/>
            <wp:effectExtent l="0" t="0" r="0" b="0"/>
            <wp:wrapNone/>
            <wp:docPr id="142" name="IM 142"/>
            <wp:cNvGraphicFramePr/>
            <a:graphic>
              <a:graphicData uri="http://schemas.openxmlformats.org/drawingml/2006/picture">
                <pic:pic>
                  <pic:nvPicPr>
                    <pic:cNvPr id="142" name="IM 14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62" cy="781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5152" behindDoc="1" locked="0" layoutInCell="1" allowOverlap="1">
            <wp:simplePos x="0" y="0"/>
            <wp:positionH relativeFrom="column">
              <wp:posOffset>1608207</wp:posOffset>
            </wp:positionH>
            <wp:positionV relativeFrom="paragraph">
              <wp:posOffset>517517</wp:posOffset>
            </wp:positionV>
            <wp:extent cx="96050" cy="861479"/>
            <wp:effectExtent l="0" t="0" r="0" b="0"/>
            <wp:wrapNone/>
            <wp:docPr id="144" name="IM 144"/>
            <wp:cNvGraphicFramePr/>
            <a:graphic>
              <a:graphicData uri="http://schemas.openxmlformats.org/drawingml/2006/picture">
                <pic:pic>
                  <pic:nvPicPr>
                    <pic:cNvPr id="144" name="IM 14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50" cy="861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7744" behindDoc="1" locked="0" layoutInCell="1" allowOverlap="1">
            <wp:simplePos x="0" y="0"/>
            <wp:positionH relativeFrom="column">
              <wp:posOffset>1796929</wp:posOffset>
            </wp:positionH>
            <wp:positionV relativeFrom="paragraph">
              <wp:posOffset>437698</wp:posOffset>
            </wp:positionV>
            <wp:extent cx="96049" cy="941298"/>
            <wp:effectExtent l="0" t="0" r="0" b="0"/>
            <wp:wrapNone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49" cy="941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08768" behindDoc="1" locked="0" layoutInCell="1" allowOverlap="1">
            <wp:simplePos x="0" y="0"/>
            <wp:positionH relativeFrom="column">
              <wp:posOffset>1985651</wp:posOffset>
            </wp:positionH>
            <wp:positionV relativeFrom="paragraph">
              <wp:posOffset>335767</wp:posOffset>
            </wp:positionV>
            <wp:extent cx="96062" cy="1043228"/>
            <wp:effectExtent l="0" t="0" r="0" b="0"/>
            <wp:wrapNone/>
            <wp:docPr id="148" name="IM 148"/>
            <wp:cNvGraphicFramePr/>
            <a:graphic>
              <a:graphicData uri="http://schemas.openxmlformats.org/drawingml/2006/picture">
                <pic:pic>
                  <pic:nvPicPr>
                    <pic:cNvPr id="148" name="IM 14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62" cy="1043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8224" behindDoc="1" locked="0" layoutInCell="1" allowOverlap="1">
            <wp:simplePos x="0" y="0"/>
            <wp:positionH relativeFrom="column">
              <wp:posOffset>2174386</wp:posOffset>
            </wp:positionH>
            <wp:positionV relativeFrom="paragraph">
              <wp:posOffset>235310</wp:posOffset>
            </wp:positionV>
            <wp:extent cx="96050" cy="1143685"/>
            <wp:effectExtent l="0" t="0" r="0" b="0"/>
            <wp:wrapNone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6050" cy="11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9248" behindDoc="1" locked="0" layoutInCell="1" allowOverlap="1">
            <wp:simplePos x="0" y="0"/>
            <wp:positionH relativeFrom="column">
              <wp:posOffset>2363108</wp:posOffset>
            </wp:positionH>
            <wp:positionV relativeFrom="paragraph">
              <wp:posOffset>354957</wp:posOffset>
            </wp:positionV>
            <wp:extent cx="42316" cy="1024039"/>
            <wp:effectExtent l="0" t="0" r="0" b="0"/>
            <wp:wrapNone/>
            <wp:docPr id="152" name="IM 152"/>
            <wp:cNvGraphicFramePr/>
            <a:graphic>
              <a:graphicData uri="http://schemas.openxmlformats.org/drawingml/2006/picture">
                <pic:pic>
                  <pic:nvPicPr>
                    <pic:cNvPr id="152" name="IM 152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16" cy="102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21056" behindDoc="1" locked="0" layoutInCell="1" allowOverlap="1">
            <wp:simplePos x="0" y="0"/>
            <wp:positionH relativeFrom="column">
              <wp:posOffset>2416842</wp:posOffset>
            </wp:positionH>
            <wp:positionV relativeFrom="paragraph">
              <wp:posOffset>162450</wp:posOffset>
            </wp:positionV>
            <wp:extent cx="42316" cy="1216545"/>
            <wp:effectExtent l="0" t="0" r="0" b="0"/>
            <wp:wrapNone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316" cy="121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6"/>
        </w:rPr>
        <w:drawing>
          <wp:inline distT="0" distB="0" distL="0" distR="0">
            <wp:extent cx="2625328" cy="1460732"/>
            <wp:effectExtent l="0" t="0" r="0" b="0"/>
            <wp:docPr id="156" name="IM 156"/>
            <wp:cNvGraphicFramePr/>
            <a:graphic>
              <a:graphicData uri="http://schemas.openxmlformats.org/drawingml/2006/picture">
                <pic:pic>
                  <pic:nvPicPr>
                    <pic:cNvPr id="156" name="IM 156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25328" cy="146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85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图2-2    金融机构本外币存贷款情况</w:t>
      </w:r>
    </w:p>
    <w:p>
      <w:pPr>
        <w:pStyle w:val="BodyText"/>
        <w:ind w:left="901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（数据来源：中国人民银行）</w:t>
      </w:r>
    </w:p>
    <w:p>
      <w:pPr>
        <w:spacing w:line="196" w:lineRule="auto"/>
        <w:sectPr>
          <w:type w:val="continuous"/>
          <w:pgSz w:w="11906" w:h="16158"/>
          <w:pgMar w:top="1383" w:right="1415" w:bottom="400" w:left="1700" w:header="1060" w:footer="0" w:gutter="0"/>
          <w:cols w:equalWidth="0" w:num="2">
            <w:col w:w="4525" w:space="100"/>
            <w:col w:w="4165" w:space="0"/>
          </w:cols>
        </w:sectPr>
        <w:rPr>
          <w:sz w:val="18"/>
          <w:szCs w:val="18"/>
        </w:rPr>
      </w:pPr>
    </w:p>
    <w:p>
      <w:pPr>
        <w:pStyle w:val="BodyText"/>
        <w:spacing w:line="423" w:lineRule="auto"/>
        <w:rPr/>
      </w:pPr>
      <w:r/>
    </w:p>
    <w:p>
      <w:pPr>
        <w:pStyle w:val="BodyText"/>
        <w:ind w:left="342"/>
        <w:spacing w:before="77" w:line="156" w:lineRule="exact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position w:val="-1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1"/>
          <w:w w:val="101"/>
          <w:position w:val="-1"/>
        </w:rPr>
        <w:t xml:space="preserve"> </w:t>
      </w:r>
      <w:r>
        <w:rPr>
          <w:sz w:val="16"/>
          <w:szCs w:val="16"/>
          <w:color w:val="231F20"/>
          <w:position w:val="-1"/>
        </w:rPr>
        <w:t>包括中国人民银行、银行业存款类金融机构、银行业非存款类金融机构。</w:t>
      </w:r>
    </w:p>
    <w:p>
      <w:pPr>
        <w:spacing w:line="156" w:lineRule="exact"/>
        <w:sectPr>
          <w:type w:val="continuous"/>
          <w:pgSz w:w="11906" w:h="16158"/>
          <w:pgMar w:top="1383" w:right="1415" w:bottom="400" w:left="1700" w:header="1060" w:footer="0" w:gutter="0"/>
          <w:cols w:equalWidth="0" w:num="1">
            <w:col w:w="8789" w:space="0"/>
          </w:cols>
        </w:sectPr>
        <w:rPr>
          <w:sz w:val="16"/>
          <w:szCs w:val="16"/>
        </w:rPr>
      </w:pPr>
    </w:p>
    <w:p>
      <w:pPr>
        <w:spacing w:before="169"/>
        <w:rPr/>
      </w:pPr>
      <w:r/>
    </w:p>
    <w:p>
      <w:pPr>
        <w:sectPr>
          <w:headerReference w:type="default" r:id="rId82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5" w:right="358" w:firstLine="424"/>
        <w:spacing w:before="41" w:line="252" w:lineRule="auto"/>
        <w:jc w:val="both"/>
        <w:rPr/>
      </w:pPr>
      <w:r>
        <w:rPr>
          <w:color w:val="231F20"/>
          <w:spacing w:val="9"/>
        </w:rPr>
        <w:t>银行业机构组织体系总体稳定，农村中</w:t>
      </w:r>
      <w:r>
        <w:rPr>
          <w:color w:val="231F20"/>
          <w:spacing w:val="11"/>
          <w:w w:val="101"/>
        </w:rPr>
        <w:t xml:space="preserve"> </w:t>
      </w:r>
      <w:r>
        <w:rPr>
          <w:color w:val="231F20"/>
          <w:spacing w:val="3"/>
        </w:rPr>
        <w:t>小银行重组进程加速。</w:t>
      </w:r>
      <w:r>
        <w:rPr>
          <w:color w:val="231F20"/>
          <w:spacing w:val="59"/>
          <w:w w:val="102"/>
        </w:rPr>
        <w:t xml:space="preserve"> </w:t>
      </w:r>
      <w:r>
        <w:rPr>
          <w:color w:val="231F20"/>
          <w:spacing w:val="3"/>
        </w:rPr>
        <w:t>截至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年末，全国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共有银行业金融机构法人</w:t>
      </w:r>
      <w:r>
        <w:rPr>
          <w:rFonts w:ascii="Times New Roman" w:hAnsi="Times New Roman" w:eastAsia="Times New Roman" w:cs="Times New Roman"/>
          <w:color w:val="231F20"/>
          <w:spacing w:val="8"/>
        </w:rPr>
        <w:t>4295</w:t>
      </w:r>
      <w:r>
        <w:rPr>
          <w:color w:val="231F20"/>
          <w:spacing w:val="8"/>
        </w:rPr>
        <w:t>家，其中法人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银行机构包括政策性、开发性银行</w:t>
      </w:r>
      <w:r>
        <w:rPr>
          <w:rFonts w:ascii="Times New Roman" w:hAnsi="Times New Roman" w:eastAsia="Times New Roman" w:cs="Times New Roman"/>
          <w:color w:val="231F20"/>
          <w:spacing w:val="3"/>
        </w:rPr>
        <w:t>3</w:t>
      </w:r>
      <w:r>
        <w:rPr>
          <w:color w:val="231F20"/>
          <w:spacing w:val="3"/>
        </w:rPr>
        <w:t>家、国有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大型商业银行</w:t>
      </w:r>
      <w:r>
        <w:rPr>
          <w:rFonts w:ascii="Times New Roman" w:hAnsi="Times New Roman" w:eastAsia="Times New Roman" w:cs="Times New Roman"/>
          <w:color w:val="231F20"/>
          <w:spacing w:val="3"/>
        </w:rPr>
        <w:t>6</w:t>
      </w:r>
      <w:r>
        <w:rPr>
          <w:color w:val="231F20"/>
          <w:spacing w:val="3"/>
        </w:rPr>
        <w:t>家、股份制商业银行</w:t>
      </w:r>
      <w:r>
        <w:rPr>
          <w:rFonts w:ascii="Times New Roman" w:hAnsi="Times New Roman" w:eastAsia="Times New Roman" w:cs="Times New Roman"/>
          <w:color w:val="231F20"/>
          <w:spacing w:val="3"/>
        </w:rPr>
        <w:t>12</w:t>
      </w:r>
      <w:r>
        <w:rPr>
          <w:color w:val="231F20"/>
          <w:spacing w:val="3"/>
        </w:rPr>
        <w:t>家、城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3"/>
        </w:rPr>
        <w:t>市商业银行</w:t>
      </w:r>
      <w:r>
        <w:rPr>
          <w:rFonts w:ascii="Times New Roman" w:hAnsi="Times New Roman" w:eastAsia="Times New Roman" w:cs="Times New Roman"/>
          <w:color w:val="231F20"/>
          <w:spacing w:val="13"/>
        </w:rPr>
        <w:t>124</w:t>
      </w:r>
      <w:r>
        <w:rPr>
          <w:color w:val="231F20"/>
          <w:spacing w:val="13"/>
        </w:rPr>
        <w:t>家、民营银行</w:t>
      </w:r>
      <w:r>
        <w:rPr>
          <w:rFonts w:ascii="Times New Roman" w:hAnsi="Times New Roman" w:eastAsia="Times New Roman" w:cs="Times New Roman"/>
          <w:color w:val="231F20"/>
          <w:spacing w:val="13"/>
        </w:rPr>
        <w:t>19</w:t>
      </w:r>
      <w:r>
        <w:rPr>
          <w:color w:val="231F20"/>
          <w:spacing w:val="13"/>
        </w:rPr>
        <w:t>家、外资法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8"/>
        </w:rPr>
        <w:t>人银行</w:t>
      </w:r>
      <w:r>
        <w:rPr>
          <w:rFonts w:ascii="Times New Roman" w:hAnsi="Times New Roman" w:eastAsia="Times New Roman" w:cs="Times New Roman"/>
          <w:color w:val="231F20"/>
          <w:spacing w:val="8"/>
        </w:rPr>
        <w:t>41</w:t>
      </w:r>
      <w:r>
        <w:rPr>
          <w:color w:val="231F20"/>
          <w:spacing w:val="8"/>
        </w:rPr>
        <w:t>家、住房储蓄银行</w:t>
      </w:r>
      <w:r>
        <w:rPr>
          <w:rFonts w:ascii="Times New Roman" w:hAnsi="Times New Roman" w:eastAsia="Times New Roman" w:cs="Times New Roman"/>
          <w:color w:val="231F20"/>
          <w:spacing w:val="8"/>
        </w:rPr>
        <w:t>1</w:t>
      </w:r>
      <w:r>
        <w:rPr>
          <w:color w:val="231F20"/>
          <w:spacing w:val="8"/>
        </w:rPr>
        <w:t>家、直销银行</w:t>
      </w:r>
      <w:r>
        <w:rPr>
          <w:rFonts w:ascii="Times New Roman" w:hAnsi="Times New Roman" w:eastAsia="Times New Roman" w:cs="Times New Roman"/>
          <w:color w:val="231F20"/>
          <w:spacing w:val="8"/>
        </w:rPr>
        <w:t>2</w:t>
      </w:r>
      <w:r>
        <w:rPr>
          <w:rFonts w:ascii="Times New Roman" w:hAnsi="Times New Roman" w:eastAsia="Times New Roman" w:cs="Times New Roman"/>
          <w:color w:val="231F20"/>
          <w:spacing w:val="2"/>
        </w:rPr>
        <w:t xml:space="preserve"> </w:t>
      </w:r>
      <w:r>
        <w:rPr>
          <w:color w:val="231F20"/>
          <w:spacing w:val="7"/>
        </w:rPr>
        <w:t>家、农村商业银行</w:t>
      </w:r>
      <w:r>
        <w:rPr>
          <w:rFonts w:ascii="Times New Roman" w:hAnsi="Times New Roman" w:eastAsia="Times New Roman" w:cs="Times New Roman"/>
          <w:color w:val="231F20"/>
          <w:spacing w:val="7"/>
        </w:rPr>
        <w:t>1563</w:t>
      </w:r>
      <w:r>
        <w:rPr>
          <w:color w:val="231F20"/>
          <w:spacing w:val="7"/>
        </w:rPr>
        <w:t>家、农村合作银行</w:t>
      </w:r>
      <w:r>
        <w:rPr>
          <w:rFonts w:ascii="Times New Roman" w:hAnsi="Times New Roman" w:eastAsia="Times New Roman" w:cs="Times New Roman"/>
          <w:color w:val="231F20"/>
          <w:spacing w:val="7"/>
        </w:rPr>
        <w:t>23</w:t>
      </w:r>
      <w:r>
        <w:rPr>
          <w:rFonts w:ascii="Times New Roman" w:hAnsi="Times New Roman" w:eastAsia="Times New Roman" w:cs="Times New Roman"/>
          <w:color w:val="231F20"/>
          <w:spacing w:val="15"/>
          <w:w w:val="101"/>
        </w:rPr>
        <w:t xml:space="preserve"> </w:t>
      </w:r>
      <w:r>
        <w:rPr>
          <w:color w:val="231F20"/>
          <w:spacing w:val="13"/>
        </w:rPr>
        <w:t>家、农村信用社</w:t>
      </w:r>
      <w:r>
        <w:rPr>
          <w:rFonts w:ascii="Times New Roman" w:hAnsi="Times New Roman" w:eastAsia="Times New Roman" w:cs="Times New Roman"/>
          <w:color w:val="231F20"/>
          <w:spacing w:val="13"/>
        </w:rPr>
        <w:t>458</w:t>
      </w:r>
      <w:r>
        <w:rPr>
          <w:color w:val="231F20"/>
          <w:spacing w:val="13"/>
        </w:rPr>
        <w:t>家、农村资金互助社</w:t>
      </w:r>
      <w:r>
        <w:rPr>
          <w:rFonts w:ascii="Times New Roman" w:hAnsi="Times New Roman" w:eastAsia="Times New Roman" w:cs="Times New Roman"/>
          <w:color w:val="231F20"/>
          <w:spacing w:val="13"/>
        </w:rPr>
        <w:t>21</w:t>
      </w:r>
      <w:r>
        <w:rPr>
          <w:rFonts w:ascii="Times New Roman" w:hAnsi="Times New Roman" w:eastAsia="Times New Roman" w:cs="Times New Roman"/>
          <w:color w:val="231F20"/>
          <w:spacing w:val="1"/>
        </w:rPr>
        <w:t xml:space="preserve"> </w:t>
      </w:r>
      <w:r>
        <w:rPr>
          <w:color w:val="231F20"/>
          <w:spacing w:val="8"/>
        </w:rPr>
        <w:t>家、村镇银行</w:t>
      </w:r>
      <w:r>
        <w:rPr>
          <w:rFonts w:ascii="Times New Roman" w:hAnsi="Times New Roman" w:eastAsia="Times New Roman" w:cs="Times New Roman"/>
          <w:color w:val="231F20"/>
          <w:spacing w:val="8"/>
        </w:rPr>
        <w:t>1538</w:t>
      </w:r>
      <w:r>
        <w:rPr>
          <w:color w:val="231F20"/>
          <w:spacing w:val="8"/>
        </w:rPr>
        <w:t>家。此外，另有外国及港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澳台银行分行</w:t>
      </w:r>
      <w:r>
        <w:rPr>
          <w:rFonts w:ascii="Times New Roman" w:hAnsi="Times New Roman" w:eastAsia="Times New Roman" w:cs="Times New Roman"/>
          <w:color w:val="231F20"/>
          <w:spacing w:val="3"/>
        </w:rPr>
        <w:t>116</w:t>
      </w:r>
      <w:r>
        <w:rPr>
          <w:color w:val="231F20"/>
          <w:spacing w:val="3"/>
        </w:rPr>
        <w:t>家。农村中小银行法人机构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数量较</w:t>
      </w:r>
      <w:r>
        <w:rPr>
          <w:rFonts w:ascii="Times New Roman" w:hAnsi="Times New Roman" w:eastAsia="Times New Roman" w:cs="Times New Roman"/>
          <w:color w:val="231F20"/>
          <w:spacing w:val="3"/>
        </w:rPr>
        <w:t>2023</w:t>
      </w:r>
      <w:r>
        <w:rPr>
          <w:color w:val="231F20"/>
          <w:spacing w:val="3"/>
        </w:rPr>
        <w:t>年末减少</w:t>
      </w:r>
      <w:r>
        <w:rPr>
          <w:rFonts w:ascii="Times New Roman" w:hAnsi="Times New Roman" w:eastAsia="Times New Roman" w:cs="Times New Roman"/>
          <w:color w:val="231F20"/>
          <w:spacing w:val="3"/>
        </w:rPr>
        <w:t>193</w:t>
      </w:r>
      <w:r>
        <w:rPr>
          <w:color w:val="231F20"/>
          <w:spacing w:val="3"/>
        </w:rPr>
        <w:t>家，其中村</w:t>
      </w:r>
      <w:r>
        <w:rPr>
          <w:color w:val="231F20"/>
          <w:spacing w:val="2"/>
        </w:rPr>
        <w:t>镇银行减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少</w:t>
      </w:r>
      <w:r>
        <w:rPr>
          <w:rFonts w:ascii="Times New Roman" w:hAnsi="Times New Roman" w:eastAsia="Times New Roman" w:cs="Times New Roman"/>
          <w:color w:val="231F20"/>
          <w:spacing w:val="8"/>
        </w:rPr>
        <w:t>98</w:t>
      </w:r>
      <w:r>
        <w:rPr>
          <w:color w:val="231F20"/>
          <w:spacing w:val="8"/>
        </w:rPr>
        <w:t>家，农村商业银行减少</w:t>
      </w:r>
      <w:r>
        <w:rPr>
          <w:rFonts w:ascii="Times New Roman" w:hAnsi="Times New Roman" w:eastAsia="Times New Roman" w:cs="Times New Roman"/>
          <w:color w:val="231F20"/>
          <w:spacing w:val="8"/>
        </w:rPr>
        <w:t>44</w:t>
      </w:r>
      <w:r>
        <w:rPr>
          <w:color w:val="231F20"/>
          <w:spacing w:val="8"/>
        </w:rPr>
        <w:t>家，农村信用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8"/>
        </w:rPr>
        <w:t>社减少</w:t>
      </w:r>
      <w:r>
        <w:rPr>
          <w:rFonts w:ascii="Times New Roman" w:hAnsi="Times New Roman" w:eastAsia="Times New Roman" w:cs="Times New Roman"/>
          <w:color w:val="231F20"/>
          <w:spacing w:val="8"/>
        </w:rPr>
        <w:t>41</w:t>
      </w:r>
      <w:r>
        <w:rPr>
          <w:color w:val="231F20"/>
          <w:spacing w:val="8"/>
        </w:rPr>
        <w:t>家，多为经金融监管部门批复解散 </w:t>
      </w:r>
      <w:r>
        <w:rPr>
          <w:color w:val="231F20"/>
          <w:spacing w:val="-5"/>
        </w:rPr>
        <w:t>或批复合并。</w:t>
      </w:r>
    </w:p>
    <w:p>
      <w:pPr>
        <w:pStyle w:val="BodyText"/>
        <w:ind w:left="417"/>
        <w:spacing w:before="106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（二）持续深入推进银行业改革</w:t>
      </w:r>
    </w:p>
    <w:p>
      <w:pPr>
        <w:pStyle w:val="BodyText"/>
        <w:ind w:left="8" w:right="358" w:firstLine="429"/>
        <w:spacing w:before="247" w:line="249" w:lineRule="auto"/>
        <w:jc w:val="both"/>
        <w:rPr/>
      </w:pPr>
      <w:r>
        <w:rPr>
          <w:color w:val="231F20"/>
          <w:spacing w:val="9"/>
        </w:rPr>
        <w:t>一是持续推进政策性、开发性银行落实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业务分类分账改革要求。  强化职能定位，在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8"/>
        </w:rPr>
        <w:t>加强风险防控的基础上，更好地发挥支持经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3"/>
        </w:rPr>
        <w:t>济结构转型和服务高质量发展作用。</w:t>
      </w:r>
    </w:p>
    <w:p>
      <w:pPr>
        <w:pStyle w:val="BodyText"/>
        <w:ind w:left="6" w:right="358" w:firstLine="430"/>
        <w:spacing w:before="7" w:line="238" w:lineRule="auto"/>
        <w:rPr/>
      </w:pPr>
      <w:r>
        <w:rPr>
          <w:color w:val="231F20"/>
          <w:spacing w:val="21"/>
        </w:rPr>
        <w:t>二是前瞻性补充大型商业银行资本。</w:t>
      </w:r>
      <w:r>
        <w:rPr>
          <w:color w:val="231F20"/>
        </w:rPr>
        <w:t xml:space="preserve">  </w:t>
      </w:r>
      <w:r>
        <w:rPr>
          <w:color w:val="231F20"/>
          <w:spacing w:val="8"/>
        </w:rPr>
        <w:t>当前，国有大型商业银行经营发展稳健，资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8"/>
        </w:rPr>
        <w:t>产质量稳定，拨备计提充足，主要监管指标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4"/>
        </w:rPr>
        <w:t>均处于“健康区间”。</w:t>
      </w:r>
      <w:r>
        <w:rPr>
          <w:color w:val="231F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2025</w:t>
      </w:r>
      <w:r>
        <w:rPr>
          <w:color w:val="231F20"/>
          <w:spacing w:val="4"/>
        </w:rPr>
        <w:t>年上半年，</w:t>
      </w:r>
      <w:r>
        <w:rPr>
          <w:color w:val="231F20"/>
          <w:spacing w:val="3"/>
        </w:rPr>
        <w:t>财政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部发行首批特别国债</w:t>
      </w:r>
      <w:r>
        <w:rPr>
          <w:rFonts w:ascii="Times New Roman" w:hAnsi="Times New Roman" w:eastAsia="Times New Roman" w:cs="Times New Roman"/>
          <w:color w:val="231F20"/>
          <w:spacing w:val="8"/>
        </w:rPr>
        <w:t>5000</w:t>
      </w:r>
      <w:r>
        <w:rPr>
          <w:color w:val="231F20"/>
          <w:spacing w:val="8"/>
        </w:rPr>
        <w:t>亿元，支持中国银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行、建设银行、交通银行、中国邮政储蓄银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8"/>
        </w:rPr>
        <w:t>行补充核心一级资本，有利于进一步巩固提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3" w:line="249" w:lineRule="auto"/>
        <w:jc w:val="both"/>
        <w:rPr/>
      </w:pPr>
      <w:r>
        <w:rPr>
          <w:color w:val="231F20"/>
          <w:spacing w:val="9"/>
        </w:rPr>
        <w:t>升大型商业银行的稳健经营能力，有效发挥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其资本的杠杆撬动作用并增强银行信贷投放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能力，支持其更好地发挥服务实体经济的主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力军作用，为国民经济行稳致远提供有力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支撑。</w:t>
      </w:r>
    </w:p>
    <w:p>
      <w:pPr>
        <w:pStyle w:val="BodyText"/>
        <w:ind w:firstLine="430"/>
        <w:spacing w:before="8" w:line="249" w:lineRule="auto"/>
        <w:jc w:val="both"/>
        <w:rPr/>
      </w:pPr>
      <w:r>
        <w:rPr>
          <w:color w:val="231F20"/>
          <w:spacing w:val="23"/>
        </w:rPr>
        <w:t>三是一体推进中小银行风险处置和转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型发展。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6"/>
        </w:rPr>
        <w:t>有序推进地方中小银行改革化险工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作，综合采取补充资本金、兼并重组、市场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退出等方式分类化解风险。完善中小银行功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能定位和治理机制，切实加强中小银行党的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建设，将党的领导制度优势转化为内部治理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效能，完善引导、监督和考核，健全服务实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体经济的激励约束相容机制。推动中小银行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回归本源和主业，立足地方实际开展特色化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经营，实现差异化、内涵式发展。</w:t>
      </w:r>
    </w:p>
    <w:p>
      <w:pPr>
        <w:pStyle w:val="BodyText"/>
        <w:ind w:firstLine="441"/>
        <w:spacing w:before="21" w:line="239" w:lineRule="auto"/>
        <w:rPr/>
      </w:pPr>
      <w:r>
        <w:rPr>
          <w:color w:val="231F20"/>
          <w:spacing w:val="8"/>
        </w:rPr>
        <w:t>四是支持“一省一策”实施农村信用社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7"/>
        </w:rPr>
        <w:t>改革。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7"/>
        </w:rPr>
        <w:t>按照市场化、法治化原则，支持各省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（区）结合实际情况探索改革模式和路径，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推动改制后的省级机构规范履职，引导农村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信用社加强党的领导、优化股权结构、转换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经营机制、完善公司治理、增强发展动能、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强化支农支小定位，更好地发挥农村金融服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务主力军作用。截至</w:t>
      </w:r>
      <w:r>
        <w:rPr>
          <w:rFonts w:ascii="Times New Roman" w:hAnsi="Times New Roman" w:eastAsia="Times New Roman" w:cs="Times New Roman"/>
          <w:color w:val="231F20"/>
          <w:spacing w:val="3"/>
        </w:rPr>
        <w:t>2025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6</w:t>
      </w:r>
      <w:r>
        <w:rPr>
          <w:color w:val="231F20"/>
          <w:spacing w:val="3"/>
        </w:rPr>
        <w:t>月末，浙江</w:t>
      </w:r>
      <w:r>
        <w:rPr>
          <w:color w:val="231F20"/>
          <w:spacing w:val="2"/>
        </w:rPr>
        <w:t>农商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联合银行、辽宁农商银行、山西农商联合银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行、广西农商联合银行、海南农商银行、四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川农商联合银行、河南农商银行、江苏农商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联合银行、江西农商联合银行、内蒙古农商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银行均已成立。</w:t>
      </w:r>
    </w:p>
    <w:p>
      <w:pPr>
        <w:spacing w:line="239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6" w:space="100"/>
            <w:col w:w="4163" w:space="0"/>
          </w:cols>
        </w:sectPr>
        <w:rPr/>
      </w:pPr>
    </w:p>
    <w:p>
      <w:pPr>
        <w:pStyle w:val="BodyText"/>
        <w:spacing w:line="382" w:lineRule="auto"/>
        <w:rPr/>
      </w:pPr>
      <w:r/>
    </w:p>
    <w:p>
      <w:pPr>
        <w:pStyle w:val="BodyText"/>
        <w:ind w:left="299"/>
        <w:spacing w:before="135" w:line="175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466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-99506</wp:posOffset>
                </wp:positionV>
                <wp:extent cx="5580380" cy="6814819"/>
                <wp:effectExtent l="0" t="0" r="0" b="0"/>
                <wp:wrapNone/>
                <wp:docPr id="160" name="Rect 160"/>
                <wp:cNvGraphicFramePr/>
                <a:graphic>
                  <a:graphicData uri="http://schemas.microsoft.com/office/word/2010/wordprocessingShape">
                    <wps:wsp>
                      <wps:cNvPr id="160" name="Rect 160"/>
                      <wps:cNvSpPr/>
                      <wps:spPr>
                        <a:xfrm>
                          <a:off x="0" y="-99506"/>
                          <a:ext cx="5580380" cy="6814819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" style="position:absolute;margin-left:0pt;margin-top:-7.83514pt;mso-position-vertical-relative:text;mso-position-horizontal-relative:text;width:439.4pt;height:536.6pt;z-index:-251469824;" fillcolor="#D4E5F5" filled="true" stroked="false"/>
            </w:pict>
          </mc:Fallback>
        </mc:AlternateContent>
      </w:r>
      <w:bookmarkStart w:name="bookmark42" w:id="17"/>
      <w:bookmarkEnd w:id="17"/>
      <w:bookmarkStart w:name="bookmark22" w:id="18"/>
      <w:bookmarkEnd w:id="18"/>
      <w:r>
        <w:rPr>
          <w:sz w:val="28"/>
          <w:szCs w:val="28"/>
          <w:color w:val="231F20"/>
        </w:rPr>
        <w:t>专栏五    国有大型商业银行提升损失吸收能力和经营稳健性</w:t>
      </w:r>
    </w:p>
    <w:p>
      <w:pPr>
        <w:spacing w:line="323" w:lineRule="exact"/>
        <w:rPr/>
      </w:pPr>
      <w:r/>
    </w:p>
    <w:p>
      <w:pPr>
        <w:spacing w:line="323" w:lineRule="exact"/>
        <w:sectPr>
          <w:headerReference w:type="default" r:id="rId83"/>
          <w:pgSz w:w="11906" w:h="16158"/>
          <w:pgMar w:top="1383" w:right="1417" w:bottom="400" w:left="1700" w:header="1060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6" w:right="353" w:firstLine="453"/>
        <w:spacing w:before="50" w:line="249" w:lineRule="auto"/>
        <w:rPr/>
      </w:pPr>
      <w:r>
        <w:rPr>
          <w:color w:val="231F20"/>
          <w:spacing w:val="18"/>
        </w:rPr>
        <w:t>国有大型商业银行是服务实体经济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4"/>
        </w:rPr>
        <w:t>的主力军，也是维护金融稳定的压舱石。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2024年以来，国有大型商业银行稳步提升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3"/>
        </w:rPr>
        <w:t>总损失吸收能力（</w:t>
      </w:r>
      <w:r>
        <w:rPr>
          <w:color w:val="231F20"/>
        </w:rPr>
        <w:t>TLAC</w:t>
      </w:r>
      <w:r>
        <w:rPr>
          <w:color w:val="231F20"/>
          <w:spacing w:val="13"/>
        </w:rPr>
        <w:t>）水平，并启动 </w:t>
      </w:r>
      <w:r>
        <w:rPr>
          <w:color w:val="231F20"/>
          <w:spacing w:val="5"/>
        </w:rPr>
        <w:t>核心一级资本补充工作，进一步提高了抵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御风险能力和服务实体经济能力。</w:t>
      </w:r>
    </w:p>
    <w:p>
      <w:pPr>
        <w:pStyle w:val="BodyText"/>
        <w:ind w:left="285" w:right="352" w:firstLine="432"/>
        <w:spacing w:before="13" w:line="249" w:lineRule="auto"/>
        <w:rPr/>
      </w:pPr>
      <w:r>
        <w:rPr>
          <w:color w:val="231F20"/>
          <w:spacing w:val="26"/>
        </w:rPr>
        <w:t>5家全球系统重要性银行成功发行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TLAC</w:t>
      </w:r>
      <w:r>
        <w:rPr>
          <w:color w:val="231F20"/>
          <w:spacing w:val="7"/>
        </w:rPr>
        <w:t>非资本债券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7"/>
        </w:rPr>
        <w:t>。2024年，工商银行、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农业银行、中国银行、建设银行和交通银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行合计发行2100亿元</w:t>
      </w:r>
      <w:r>
        <w:rPr>
          <w:color w:val="231F20"/>
        </w:rPr>
        <w:t>TLAC</w:t>
      </w:r>
      <w:r>
        <w:rPr>
          <w:color w:val="231F20"/>
          <w:spacing w:val="9"/>
        </w:rPr>
        <w:t>非资本债券。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1"/>
        </w:rPr>
        <w:t>在此基础上，2024年12月，工商银行和中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8"/>
        </w:rPr>
        <w:t>国银行又分别创新发行了100亿元</w:t>
      </w:r>
      <w:r>
        <w:rPr>
          <w:color w:val="231F20"/>
        </w:rPr>
        <w:t>TLAC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非资本绿色债券。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TLAC</w:t>
      </w:r>
      <w:r>
        <w:rPr>
          <w:color w:val="231F20"/>
          <w:spacing w:val="9"/>
        </w:rPr>
        <w:t>非资本债券的发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行吸引了境内外银行、基金公司、保险资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管、证券公司等多类型投资者积极认购，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5"/>
        </w:rPr>
        <w:t>呈现出多元化的投资者分布格局，反映了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5"/>
        </w:rPr>
        <w:t>投资者对</w:t>
      </w:r>
      <w:r>
        <w:rPr>
          <w:color w:val="231F20"/>
        </w:rPr>
        <w:t>TLAC</w:t>
      </w:r>
      <w:r>
        <w:rPr>
          <w:color w:val="231F20"/>
          <w:spacing w:val="15"/>
        </w:rPr>
        <w:t>非资本债券品种的充分认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可。截至2025年第二季度末，工商银行、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5"/>
        </w:rPr>
        <w:t>农业银行、中国银行、建设银行的</w:t>
      </w:r>
      <w:r>
        <w:rPr>
          <w:color w:val="231F20"/>
        </w:rPr>
        <w:t>TLAC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水平分别为22.22%、20.28%、2</w:t>
      </w:r>
      <w:r>
        <w:rPr>
          <w:color w:val="231F20"/>
          <w:spacing w:val="1"/>
        </w:rPr>
        <w:t>1.42%和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22.23%，成功实现TLAC规则的2025年第一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阶段达标，这是我国全球系统重要性银行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积极践行国际银行业监管标准、履行国际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8"/>
        <w:spacing w:before="43" w:line="194" w:lineRule="auto"/>
        <w:rPr/>
      </w:pPr>
      <w:r>
        <w:rPr>
          <w:color w:val="231F20"/>
          <w:spacing w:val="-4"/>
        </w:rPr>
        <w:t>承诺的重要体现。</w:t>
      </w:r>
    </w:p>
    <w:p>
      <w:pPr>
        <w:pStyle w:val="BodyText"/>
        <w:ind w:right="279" w:firstLine="425"/>
        <w:spacing w:before="98" w:line="251" w:lineRule="auto"/>
        <w:jc w:val="both"/>
        <w:rPr/>
      </w:pPr>
      <w:r>
        <w:rPr>
          <w:color w:val="231F20"/>
          <w:spacing w:val="11"/>
        </w:rPr>
        <w:t>稳妥推进 国有大型商业银行核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1"/>
        </w:rPr>
        <w:t>心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1"/>
        </w:rPr>
        <w:t>一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级资本补充工作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4"/>
        </w:rPr>
        <w:t>。发行特别国债支持国有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大型商业银行补充核心一级资本是围绕稳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增长、扩内需、化风险推出的一揽子有针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对性的增量政策举措之一。按照党中央和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国务院决策部署，2025年，财政部发行特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2"/>
        </w:rPr>
        <w:t>别国债5000亿元，积极支持中国银行、建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5"/>
        </w:rPr>
        <w:t>设银行、交通银行、中国邮政储蓄银行补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充核心一级资本。此次资本补充按照市场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化、法治化原则稳妥推进，发行特别国债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4"/>
        </w:rPr>
        <w:t>支持4家银行资本补充工作已于6月下旬顺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利完成。当前，国有大型商业银行经营发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3"/>
        </w:rPr>
        <w:t>展稳健，资产质量稳定，拨备计提充足，</w:t>
      </w:r>
      <w:r>
        <w:rPr>
          <w:color w:val="231F20"/>
          <w:spacing w:val="7"/>
        </w:rPr>
        <w:t xml:space="preserve">  </w:t>
      </w:r>
      <w:r>
        <w:rPr>
          <w:color w:val="231F20"/>
          <w:spacing w:val="5"/>
        </w:rPr>
        <w:t>主要监管指标均处于“健康区间”。通过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发行特别国债支持相关国有大型商业银行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补充核心一级资本，有利于进一步巩固提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5"/>
        </w:rPr>
        <w:t>升银行的稳健经营能力，促进银行高质量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发展，为投资者创造更大价值和带来长期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稳定的回报，有利于银行更好发挥服务实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体经济的主力军作用，为国民经济行稳致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-3"/>
        </w:rPr>
        <w:t>远提供有力支撑。</w:t>
      </w:r>
    </w:p>
    <w:p>
      <w:pPr>
        <w:spacing w:line="251" w:lineRule="auto"/>
        <w:sectPr>
          <w:type w:val="continuous"/>
          <w:pgSz w:w="11906" w:h="16158"/>
          <w:pgMar w:top="1383" w:right="1417" w:bottom="400" w:left="1700" w:header="1060" w:footer="0" w:gutter="0"/>
          <w:cols w:equalWidth="0" w:num="2">
            <w:col w:w="4521" w:space="100"/>
            <w:col w:w="4167" w:space="0"/>
          </w:cols>
        </w:sectPr>
        <w:rPr/>
      </w:pPr>
    </w:p>
    <w:p>
      <w:pPr>
        <w:spacing w:line="403" w:lineRule="exact"/>
        <w:rPr/>
      </w:pPr>
      <w:r/>
    </w:p>
    <w:p>
      <w:pPr>
        <w:spacing w:line="403" w:lineRule="exact"/>
        <w:sectPr>
          <w:type w:val="continuous"/>
          <w:pgSz w:w="11906" w:h="16158"/>
          <w:pgMar w:top="1383" w:right="1417" w:bottom="400" w:left="1700" w:header="1060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481"/>
        <w:spacing w:before="62" w:line="174" w:lineRule="auto"/>
        <w:outlineLvl w:val="0"/>
        <w:rPr>
          <w:sz w:val="28"/>
          <w:szCs w:val="28"/>
        </w:rPr>
      </w:pPr>
      <w:bookmarkStart w:name="bookmark5" w:id="19"/>
      <w:bookmarkEnd w:id="19"/>
      <w:r>
        <w:rPr>
          <w:sz w:val="28"/>
          <w:szCs w:val="28"/>
          <w:color w:val="174B8B"/>
          <w:spacing w:val="-3"/>
        </w:rPr>
        <w:t>二、稳健性评估</w:t>
      </w:r>
    </w:p>
    <w:p>
      <w:pPr>
        <w:pStyle w:val="BodyText"/>
        <w:ind w:left="436"/>
        <w:spacing w:before="425" w:line="184" w:lineRule="auto"/>
        <w:rPr/>
      </w:pPr>
      <w:r>
        <w:pict>
          <v:shape id="_x0000_s104" style="position:absolute;margin-left:0.250397pt;margin-top:57.9604pt;mso-position-vertical-relative:text;mso-position-horizontal-relative:text;width:90.75pt;height:0.5pt;z-index:251847680;" filled="false" strokecolor="#231F20" strokeweight="0.50pt" coordsize="1815,10" coordorigin="0,0" path="m0,5l1814,5e">
            <v:stroke joinstyle="miter" miterlimit="10"/>
          </v:shape>
        </w:pict>
      </w:r>
      <w:r>
        <w:rPr>
          <w:color w:val="231F20"/>
          <w:spacing w:val="9"/>
        </w:rPr>
        <w:t>资本充足水平总体稳定。   截至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rFonts w:ascii="Times New Roman" w:hAnsi="Times New Roman" w:eastAsia="Times New Roman" w:cs="Times New Roman"/>
          <w:color w:val="231F20"/>
          <w:spacing w:val="-6"/>
        </w:rPr>
        <w:t xml:space="preserve"> </w:t>
      </w:r>
      <w:r>
        <w:rPr>
          <w:color w:val="231F20"/>
          <w:spacing w:val="9"/>
        </w:rPr>
        <w:t>年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4" w:firstLine="4"/>
        <w:spacing w:before="52" w:line="244" w:lineRule="auto"/>
        <w:jc w:val="both"/>
        <w:rPr/>
      </w:pPr>
      <w:r>
        <w:rPr>
          <w:color w:val="231F20"/>
          <w:spacing w:val="6"/>
        </w:rPr>
        <w:t>末，商业银行核心一级资本充足率</w:t>
      </w:r>
      <w:r>
        <w:rPr>
          <w:rFonts w:ascii="Times New Roman" w:hAnsi="Times New Roman" w:eastAsia="Times New Roman" w:cs="Times New Roman"/>
          <w:color w:val="231F20"/>
          <w:spacing w:val="6"/>
        </w:rPr>
        <w:t>11.00%</w:t>
      </w:r>
      <w:r>
        <w:rPr>
          <w:color w:val="231F20"/>
          <w:spacing w:val="6"/>
        </w:rPr>
        <w:t>，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21"/>
        </w:rPr>
        <w:t>一 级资本充足率</w:t>
      </w:r>
      <w:r>
        <w:rPr>
          <w:color w:val="231F20"/>
          <w:spacing w:val="3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21"/>
        </w:rPr>
        <w:t>12 . 57%</w:t>
      </w:r>
      <w:r>
        <w:rPr>
          <w:rFonts w:ascii="Times New Roman" w:hAnsi="Times New Roman" w:eastAsia="Times New Roman" w:cs="Times New Roman"/>
          <w:color w:val="231F20"/>
          <w:spacing w:val="26"/>
          <w:w w:val="101"/>
        </w:rPr>
        <w:t xml:space="preserve"> </w:t>
      </w:r>
      <w:r>
        <w:rPr>
          <w:color w:val="231F20"/>
          <w:spacing w:val="21"/>
        </w:rPr>
        <w:t>，资本充足率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15.74%</w:t>
      </w:r>
      <w:r>
        <w:rPr>
          <w:color w:val="231F20"/>
          <w:spacing w:val="6"/>
        </w:rPr>
        <w:t>，资本充足水平高于监管要求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6"/>
          <w:position w:val="8"/>
        </w:rPr>
        <w:t>① </w:t>
      </w:r>
      <w:r>
        <w:rPr>
          <w:color w:val="231F20"/>
          <w:spacing w:val="6"/>
        </w:rPr>
        <w:t>,总体</w:t>
      </w:r>
    </w:p>
    <w:p>
      <w:pPr>
        <w:spacing w:line="244" w:lineRule="auto"/>
        <w:sectPr>
          <w:type w:val="continuous"/>
          <w:pgSz w:w="11906" w:h="16158"/>
          <w:pgMar w:top="1383" w:right="1417" w:bottom="400" w:left="1700" w:header="1060" w:footer="0" w:gutter="0"/>
          <w:cols w:equalWidth="0" w:num="2">
            <w:col w:w="4527" w:space="100"/>
            <w:col w:w="4161" w:space="0"/>
          </w:cols>
        </w:sectPr>
        <w:rPr/>
      </w:pPr>
    </w:p>
    <w:p>
      <w:pPr>
        <w:pStyle w:val="BodyText"/>
        <w:ind w:left="5" w:right="1" w:firstLine="336"/>
        <w:spacing w:before="464" w:line="194" w:lineRule="exact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2"/>
          <w:position w:val="2"/>
        </w:rPr>
        <w:t>①  </w:t>
      </w:r>
      <w:r>
        <w:rPr>
          <w:sz w:val="16"/>
          <w:szCs w:val="16"/>
          <w:color w:val="231F20"/>
          <w:spacing w:val="2"/>
          <w:position w:val="2"/>
        </w:rPr>
        <w:t>自2024年1月1日起，我国施行新版《商业银行资本管理办法》，2024年以来资本充足率相关指标与</w:t>
      </w:r>
      <w:r>
        <w:rPr>
          <w:sz w:val="16"/>
          <w:szCs w:val="16"/>
          <w:color w:val="231F20"/>
          <w:spacing w:val="1"/>
          <w:position w:val="2"/>
        </w:rPr>
        <w:t>历史数据不直接</w:t>
      </w:r>
      <w:r>
        <w:rPr>
          <w:sz w:val="16"/>
          <w:szCs w:val="16"/>
          <w:color w:val="231F20"/>
          <w:position w:val="2"/>
        </w:rPr>
        <w:t xml:space="preserve"> </w:t>
      </w:r>
      <w:r>
        <w:rPr>
          <w:sz w:val="16"/>
          <w:szCs w:val="16"/>
          <w:color w:val="231F20"/>
          <w:spacing w:val="-6"/>
          <w:position w:val="-3"/>
        </w:rPr>
        <w:t>可比。</w:t>
      </w:r>
    </w:p>
    <w:p>
      <w:pPr>
        <w:spacing w:line="194" w:lineRule="exact"/>
        <w:sectPr>
          <w:type w:val="continuous"/>
          <w:pgSz w:w="11906" w:h="16158"/>
          <w:pgMar w:top="1383" w:right="1417" w:bottom="400" w:left="1700" w:header="1060" w:footer="0" w:gutter="0"/>
          <w:cols w:equalWidth="0" w:num="1">
            <w:col w:w="8788" w:space="0"/>
          </w:cols>
        </w:sectPr>
        <w:rPr>
          <w:sz w:val="16"/>
          <w:szCs w:val="16"/>
        </w:rPr>
      </w:pPr>
    </w:p>
    <w:p>
      <w:pPr>
        <w:spacing w:before="172"/>
        <w:rPr/>
      </w:pPr>
      <w:r/>
    </w:p>
    <w:p>
      <w:pPr>
        <w:sectPr>
          <w:headerReference w:type="default" r:id="rId84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4"/>
        <w:spacing w:before="42" w:line="180" w:lineRule="auto"/>
        <w:rPr/>
      </w:pPr>
      <w:r>
        <w:rPr>
          <w:color w:val="231F20"/>
          <w:spacing w:val="1"/>
        </w:rPr>
        <w:t>保持稳定（见图</w:t>
      </w:r>
      <w:r>
        <w:rPr>
          <w:rFonts w:ascii="Times New Roman" w:hAnsi="Times New Roman" w:eastAsia="Times New Roman" w:cs="Times New Roman"/>
          <w:color w:val="231F20"/>
          <w:spacing w:val="1"/>
        </w:rPr>
        <w:t>2</w:t>
      </w:r>
      <w:r>
        <w:rPr>
          <w:color w:val="231F20"/>
          <w:spacing w:val="1"/>
        </w:rPr>
        <w:t>-</w:t>
      </w:r>
      <w:r>
        <w:rPr>
          <w:rFonts w:ascii="Times New Roman" w:hAnsi="Times New Roman" w:eastAsia="Times New Roman" w:cs="Times New Roman"/>
          <w:color w:val="231F20"/>
          <w:spacing w:val="1"/>
        </w:rPr>
        <w:t>3</w:t>
      </w:r>
      <w:r>
        <w:rPr>
          <w:color w:val="231F20"/>
          <w:spacing w:val="1"/>
        </w:rPr>
        <w:t>）。</w:t>
      </w:r>
    </w:p>
    <w:p>
      <w:pPr>
        <w:pStyle w:val="BodyText"/>
        <w:ind w:left="465" w:right="777"/>
        <w:spacing w:before="399" w:line="167" w:lineRule="auto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231F20"/>
          <w:position w:val="1"/>
        </w:rPr>
        <w:drawing>
          <wp:inline distT="0" distB="0" distL="0" distR="0">
            <wp:extent cx="123532" cy="38175"/>
            <wp:effectExtent l="0" t="0" r="0" b="0"/>
            <wp:docPr id="164" name="IM 164"/>
            <wp:cNvGraphicFramePr/>
            <a:graphic>
              <a:graphicData uri="http://schemas.openxmlformats.org/drawingml/2006/picture">
                <pic:pic>
                  <pic:nvPicPr>
                    <pic:cNvPr id="164" name="IM 164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532" cy="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9"/>
          <w:w w:val="102"/>
        </w:rPr>
        <w:t xml:space="preserve"> </w:t>
      </w:r>
      <w:r>
        <w:rPr>
          <w:sz w:val="13"/>
          <w:szCs w:val="13"/>
          <w:color w:val="231F20"/>
          <w:spacing w:val="7"/>
        </w:rPr>
        <w:t>核心</w:t>
      </w:r>
      <w:r>
        <w:rPr>
          <w:sz w:val="13"/>
          <w:szCs w:val="13"/>
          <w:color w:val="231F20"/>
          <w:spacing w:val="-17"/>
        </w:rPr>
        <w:t xml:space="preserve"> </w:t>
      </w:r>
      <w:r>
        <w:rPr>
          <w:sz w:val="13"/>
          <w:szCs w:val="13"/>
          <w:color w:val="231F20"/>
          <w:spacing w:val="7"/>
        </w:rPr>
        <w:t>一级资本净额</w:t>
      </w:r>
      <w:r>
        <w:rPr>
          <w:sz w:val="13"/>
          <w:szCs w:val="13"/>
          <w:color w:val="231F20"/>
          <w:spacing w:val="7"/>
        </w:rPr>
        <w:t xml:space="preserve">  </w:t>
      </w:r>
      <w:r>
        <w:rPr>
          <w:sz w:val="13"/>
          <w:szCs w:val="13"/>
          <w:color w:val="231F20"/>
          <w:spacing w:val="7"/>
        </w:rPr>
        <w:t>(左轴</w:t>
      </w:r>
      <w:r>
        <w:rPr>
          <w:sz w:val="13"/>
          <w:szCs w:val="13"/>
          <w:color w:val="231F20"/>
          <w:spacing w:val="13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3"/>
          <w:w w:val="101"/>
        </w:rPr>
        <w:t xml:space="preserve">   </w:t>
      </w:r>
      <w:r>
        <w:rPr>
          <w:sz w:val="13"/>
          <w:szCs w:val="13"/>
          <w:position w:val="1"/>
        </w:rPr>
        <w:drawing>
          <wp:inline distT="0" distB="0" distL="0" distR="0">
            <wp:extent cx="123532" cy="38175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532" cy="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3"/>
          <w:szCs w:val="13"/>
          <w:color w:val="231F20"/>
          <w:spacing w:val="-7"/>
        </w:rPr>
        <w:t xml:space="preserve"> </w:t>
      </w:r>
      <w:r>
        <w:rPr>
          <w:sz w:val="13"/>
          <w:szCs w:val="13"/>
          <w:color w:val="231F20"/>
          <w:spacing w:val="7"/>
        </w:rPr>
        <w:t>资本净额</w:t>
      </w:r>
      <w:r>
        <w:rPr>
          <w:sz w:val="13"/>
          <w:szCs w:val="13"/>
          <w:color w:val="231F20"/>
          <w:spacing w:val="7"/>
        </w:rPr>
        <w:t xml:space="preserve">  </w:t>
      </w:r>
      <w:r>
        <w:rPr>
          <w:sz w:val="13"/>
          <w:szCs w:val="13"/>
          <w:color w:val="231F20"/>
          <w:spacing w:val="7"/>
        </w:rPr>
        <w:t>(左轴</w:t>
      </w:r>
      <w:r>
        <w:rPr>
          <w:sz w:val="13"/>
          <w:szCs w:val="13"/>
          <w:color w:val="231F20"/>
          <w:spacing w:val="17"/>
          <w:w w:val="103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6D2B33"/>
          <w:spacing w:val="9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6D2B33"/>
          <w:spacing w:val="-10"/>
        </w:rPr>
        <w:t xml:space="preserve"> </w:t>
      </w:r>
      <w:r>
        <w:rPr>
          <w:sz w:val="13"/>
          <w:szCs w:val="13"/>
          <w:color w:val="231F20"/>
          <w:spacing w:val="9"/>
        </w:rPr>
        <w:t>资本充足率</w:t>
      </w:r>
      <w:r>
        <w:rPr>
          <w:sz w:val="13"/>
          <w:szCs w:val="13"/>
          <w:color w:val="231F20"/>
          <w:spacing w:val="9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</w:rPr>
        <w:t xml:space="preserve"> </w:t>
      </w:r>
      <w:r>
        <w:rPr>
          <w:sz w:val="13"/>
          <w:szCs w:val="13"/>
          <w:color w:val="231F20"/>
          <w:spacing w:val="9"/>
        </w:rPr>
        <w:t>右轴</w:t>
      </w:r>
      <w:r>
        <w:rPr>
          <w:sz w:val="13"/>
          <w:szCs w:val="13"/>
          <w:color w:val="231F20"/>
          <w:spacing w:val="13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</w:rPr>
        <w:t>)</w:t>
      </w:r>
    </w:p>
    <w:p>
      <w:pPr>
        <w:ind w:firstLine="97"/>
        <w:spacing w:line="2245" w:lineRule="exact"/>
        <w:rPr/>
      </w:pPr>
      <w:r>
        <w:drawing>
          <wp:anchor distT="0" distB="0" distL="0" distR="0" simplePos="0" relativeHeight="251871232" behindDoc="1" locked="0" layoutInCell="1" allowOverlap="1">
            <wp:simplePos x="0" y="0"/>
            <wp:positionH relativeFrom="column">
              <wp:posOffset>301815</wp:posOffset>
            </wp:positionH>
            <wp:positionV relativeFrom="paragraph">
              <wp:posOffset>981462</wp:posOffset>
            </wp:positionV>
            <wp:extent cx="114198" cy="320852"/>
            <wp:effectExtent l="0" t="0" r="0" b="0"/>
            <wp:wrapNone/>
            <wp:docPr id="168" name="IM 168"/>
            <wp:cNvGraphicFramePr/>
            <a:graphic>
              <a:graphicData uri="http://schemas.openxmlformats.org/drawingml/2006/picture">
                <pic:pic>
                  <pic:nvPicPr>
                    <pic:cNvPr id="168" name="IM 168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32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3280" behindDoc="1" locked="0" layoutInCell="1" allowOverlap="1">
            <wp:simplePos x="0" y="0"/>
            <wp:positionH relativeFrom="column">
              <wp:posOffset>501662</wp:posOffset>
            </wp:positionH>
            <wp:positionV relativeFrom="paragraph">
              <wp:posOffset>931157</wp:posOffset>
            </wp:positionV>
            <wp:extent cx="114198" cy="371157"/>
            <wp:effectExtent l="0" t="0" r="0" b="0"/>
            <wp:wrapNone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371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8944" behindDoc="1" locked="0" layoutInCell="1" allowOverlap="1">
            <wp:simplePos x="0" y="0"/>
            <wp:positionH relativeFrom="column">
              <wp:posOffset>701509</wp:posOffset>
            </wp:positionH>
            <wp:positionV relativeFrom="paragraph">
              <wp:posOffset>884726</wp:posOffset>
            </wp:positionV>
            <wp:extent cx="114198" cy="417588"/>
            <wp:effectExtent l="0" t="0" r="0" b="0"/>
            <wp:wrapNone/>
            <wp:docPr id="172" name="IM 172"/>
            <wp:cNvGraphicFramePr/>
            <a:graphic>
              <a:graphicData uri="http://schemas.openxmlformats.org/drawingml/2006/picture">
                <pic:pic>
                  <pic:nvPicPr>
                    <pic:cNvPr id="172" name="IM 172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417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0208" behindDoc="1" locked="0" layoutInCell="1" allowOverlap="1">
            <wp:simplePos x="0" y="0"/>
            <wp:positionH relativeFrom="column">
              <wp:posOffset>901357</wp:posOffset>
            </wp:positionH>
            <wp:positionV relativeFrom="paragraph">
              <wp:posOffset>826954</wp:posOffset>
            </wp:positionV>
            <wp:extent cx="114198" cy="475360"/>
            <wp:effectExtent l="0" t="0" r="0" b="0"/>
            <wp:wrapNone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47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9184" behindDoc="1" locked="0" layoutInCell="1" allowOverlap="1">
            <wp:simplePos x="0" y="0"/>
            <wp:positionH relativeFrom="column">
              <wp:posOffset>1101204</wp:posOffset>
            </wp:positionH>
            <wp:positionV relativeFrom="paragraph">
              <wp:posOffset>764585</wp:posOffset>
            </wp:positionV>
            <wp:extent cx="114198" cy="537742"/>
            <wp:effectExtent l="0" t="0" r="0" b="0"/>
            <wp:wrapNone/>
            <wp:docPr id="176" name="IM 176"/>
            <wp:cNvGraphicFramePr/>
            <a:graphic>
              <a:graphicData uri="http://schemas.openxmlformats.org/drawingml/2006/picture">
                <pic:pic>
                  <pic:nvPicPr>
                    <pic:cNvPr id="176" name="IM 17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537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7920" behindDoc="1" locked="0" layoutInCell="1" allowOverlap="1">
            <wp:simplePos x="0" y="0"/>
            <wp:positionH relativeFrom="column">
              <wp:posOffset>1301051</wp:posOffset>
            </wp:positionH>
            <wp:positionV relativeFrom="paragraph">
              <wp:posOffset>672801</wp:posOffset>
            </wp:positionV>
            <wp:extent cx="114198" cy="629513"/>
            <wp:effectExtent l="0" t="0" r="0" b="0"/>
            <wp:wrapNone/>
            <wp:docPr id="178" name="IM 178"/>
            <wp:cNvGraphicFramePr/>
            <a:graphic>
              <a:graphicData uri="http://schemas.openxmlformats.org/drawingml/2006/picture">
                <pic:pic>
                  <pic:nvPicPr>
                    <pic:cNvPr id="178" name="IM 17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62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6112" behindDoc="1" locked="0" layoutInCell="1" allowOverlap="1">
            <wp:simplePos x="0" y="0"/>
            <wp:positionH relativeFrom="column">
              <wp:posOffset>1500898</wp:posOffset>
            </wp:positionH>
            <wp:positionV relativeFrom="paragraph">
              <wp:posOffset>608641</wp:posOffset>
            </wp:positionV>
            <wp:extent cx="114198" cy="693673"/>
            <wp:effectExtent l="0" t="0" r="0" b="0"/>
            <wp:wrapNone/>
            <wp:docPr id="180" name="IM 180"/>
            <wp:cNvGraphicFramePr/>
            <a:graphic>
              <a:graphicData uri="http://schemas.openxmlformats.org/drawingml/2006/picture">
                <pic:pic>
                  <pic:nvPicPr>
                    <pic:cNvPr id="180" name="IM 18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6936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8160" behindDoc="1" locked="0" layoutInCell="1" allowOverlap="1">
            <wp:simplePos x="0" y="0"/>
            <wp:positionH relativeFrom="column">
              <wp:posOffset>1700746</wp:posOffset>
            </wp:positionH>
            <wp:positionV relativeFrom="paragraph">
              <wp:posOffset>525926</wp:posOffset>
            </wp:positionV>
            <wp:extent cx="114198" cy="776401"/>
            <wp:effectExtent l="0" t="0" r="0" b="0"/>
            <wp:wrapNone/>
            <wp:docPr id="182" name="IM 182"/>
            <wp:cNvGraphicFramePr/>
            <a:graphic>
              <a:graphicData uri="http://schemas.openxmlformats.org/drawingml/2006/picture">
                <pic:pic>
                  <pic:nvPicPr>
                    <pic:cNvPr id="182" name="IM 182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776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9424" behindDoc="1" locked="0" layoutInCell="1" allowOverlap="1">
            <wp:simplePos x="0" y="0"/>
            <wp:positionH relativeFrom="column">
              <wp:posOffset>1900593</wp:posOffset>
            </wp:positionH>
            <wp:positionV relativeFrom="paragraph">
              <wp:posOffset>463353</wp:posOffset>
            </wp:positionV>
            <wp:extent cx="114198" cy="838962"/>
            <wp:effectExtent l="0" t="0" r="0" b="0"/>
            <wp:wrapNone/>
            <wp:docPr id="184" name="IM 184"/>
            <wp:cNvGraphicFramePr/>
            <a:graphic>
              <a:graphicData uri="http://schemas.openxmlformats.org/drawingml/2006/picture">
                <pic:pic>
                  <pic:nvPicPr>
                    <pic:cNvPr id="184" name="IM 18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83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8400" behindDoc="1" locked="0" layoutInCell="1" allowOverlap="1">
            <wp:simplePos x="0" y="0"/>
            <wp:positionH relativeFrom="column">
              <wp:posOffset>2100440</wp:posOffset>
            </wp:positionH>
            <wp:positionV relativeFrom="paragraph">
              <wp:posOffset>379724</wp:posOffset>
            </wp:positionV>
            <wp:extent cx="114198" cy="922604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92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2496" behindDoc="1" locked="0" layoutInCell="1" allowOverlap="1">
            <wp:simplePos x="0" y="0"/>
            <wp:positionH relativeFrom="column">
              <wp:posOffset>2300287</wp:posOffset>
            </wp:positionH>
            <wp:positionV relativeFrom="paragraph">
              <wp:posOffset>306355</wp:posOffset>
            </wp:positionV>
            <wp:extent cx="114198" cy="995960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198" cy="99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4"/>
        </w:rPr>
        <w:drawing>
          <wp:inline distT="0" distB="0" distL="0" distR="0">
            <wp:extent cx="2521810" cy="1425670"/>
            <wp:effectExtent l="0" t="0" r="0" b="0"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1810" cy="14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29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图2-3    商业银行资本充足率及资本构成情况</w:t>
      </w:r>
    </w:p>
    <w:p>
      <w:pPr>
        <w:pStyle w:val="BodyText"/>
        <w:ind w:left="905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（数据来源：金融监管总局）</w:t>
      </w:r>
    </w:p>
    <w:p>
      <w:pPr>
        <w:pStyle w:val="BodyText"/>
        <w:ind w:left="5" w:right="355" w:firstLine="431"/>
        <w:spacing w:before="301" w:line="256" w:lineRule="auto"/>
        <w:jc w:val="both"/>
        <w:rPr/>
      </w:pPr>
      <w:r>
        <w:rPr>
          <w:color w:val="231F20"/>
          <w:spacing w:val="4"/>
        </w:rPr>
        <w:t>资产质量保持平稳。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4"/>
        </w:rPr>
        <w:t>截至</w:t>
      </w:r>
      <w:r>
        <w:rPr>
          <w:rFonts w:ascii="Times New Roman" w:hAnsi="Times New Roman" w:eastAsia="Times New Roman" w:cs="Times New Roman"/>
          <w:color w:val="231F20"/>
          <w:spacing w:val="4"/>
        </w:rPr>
        <w:t>2024</w:t>
      </w:r>
      <w:r>
        <w:rPr>
          <w:color w:val="231F20"/>
          <w:spacing w:val="4"/>
        </w:rPr>
        <w:t>年末，商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>业银行不良贷款余额</w:t>
      </w:r>
      <w:r>
        <w:rPr>
          <w:rFonts w:ascii="Times New Roman" w:hAnsi="Times New Roman" w:eastAsia="Times New Roman" w:cs="Times New Roman"/>
          <w:color w:val="231F20"/>
          <w:spacing w:val="10"/>
        </w:rPr>
        <w:t>3.28</w:t>
      </w:r>
      <w:r>
        <w:rPr>
          <w:color w:val="231F20"/>
          <w:spacing w:val="10"/>
        </w:rPr>
        <w:t>万亿元，同比增加</w:t>
      </w:r>
      <w:r>
        <w:rPr>
          <w:color w:val="231F20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536</w:t>
      </w:r>
      <w:r>
        <w:rPr>
          <w:color w:val="231F20"/>
        </w:rPr>
        <w:t>亿元，不良贷款率为</w:t>
      </w:r>
      <w:r>
        <w:rPr>
          <w:rFonts w:ascii="Times New Roman" w:hAnsi="Times New Roman" w:eastAsia="Times New Roman" w:cs="Times New Roman"/>
          <w:color w:val="231F20"/>
        </w:rPr>
        <w:t>1.50%</w:t>
      </w:r>
      <w:r>
        <w:rPr>
          <w:color w:val="231F20"/>
        </w:rPr>
        <w:t>，同</w:t>
      </w:r>
      <w:r>
        <w:rPr>
          <w:color w:val="231F20"/>
          <w:spacing w:val="-1"/>
        </w:rPr>
        <w:t>比下降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0.09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</w:rPr>
        <w:t>个百分点。关注类贷款余额</w:t>
      </w:r>
      <w:r>
        <w:rPr>
          <w:rFonts w:ascii="Times New Roman" w:hAnsi="Times New Roman" w:eastAsia="Times New Roman" w:cs="Times New Roman"/>
          <w:color w:val="231F20"/>
        </w:rPr>
        <w:t>4.85</w:t>
      </w:r>
      <w:r>
        <w:rPr>
          <w:color w:val="231F20"/>
        </w:rPr>
        <w:t>万亿元，同比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3"/>
        </w:rPr>
        <w:t>增加</w:t>
      </w:r>
      <w:r>
        <w:rPr>
          <w:rFonts w:ascii="Times New Roman" w:hAnsi="Times New Roman" w:eastAsia="Times New Roman" w:cs="Times New Roman"/>
          <w:color w:val="231F20"/>
          <w:spacing w:val="3"/>
        </w:rPr>
        <w:t>3826</w:t>
      </w:r>
      <w:r>
        <w:rPr>
          <w:color w:val="231F20"/>
          <w:spacing w:val="3"/>
        </w:rPr>
        <w:t>亿元（见图</w:t>
      </w:r>
      <w:r>
        <w:rPr>
          <w:rFonts w:ascii="Times New Roman" w:hAnsi="Times New Roman" w:eastAsia="Times New Roman" w:cs="Times New Roman"/>
          <w:color w:val="231F20"/>
          <w:spacing w:val="3"/>
        </w:rPr>
        <w:t>2</w:t>
      </w:r>
      <w:r>
        <w:rPr>
          <w:color w:val="231F20"/>
          <w:spacing w:val="3"/>
        </w:rPr>
        <w:t>-</w:t>
      </w:r>
      <w:r>
        <w:rPr>
          <w:rFonts w:ascii="Times New Roman" w:hAnsi="Times New Roman" w:eastAsia="Times New Roman" w:cs="Times New Roman"/>
          <w:color w:val="231F20"/>
          <w:spacing w:val="3"/>
        </w:rPr>
        <w:t>4</w:t>
      </w:r>
      <w:r>
        <w:rPr>
          <w:color w:val="231F20"/>
          <w:spacing w:val="3"/>
        </w:rPr>
        <w:t>）。银行业金融机构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全年累计处置不良资产约</w:t>
      </w:r>
      <w:r>
        <w:rPr>
          <w:rFonts w:ascii="Times New Roman" w:hAnsi="Times New Roman" w:eastAsia="Times New Roman" w:cs="Times New Roman"/>
          <w:color w:val="231F20"/>
          <w:spacing w:val="-2"/>
        </w:rPr>
        <w:t>3.8</w:t>
      </w:r>
      <w:r>
        <w:rPr>
          <w:color w:val="231F20"/>
          <w:spacing w:val="-2"/>
        </w:rPr>
        <w:t>万亿元。</w:t>
      </w:r>
    </w:p>
    <w:p>
      <w:pPr>
        <w:pStyle w:val="BodyText"/>
        <w:ind w:left="593"/>
        <w:spacing w:before="221" w:line="134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231F20"/>
          <w:position w:val="1"/>
        </w:rPr>
        <w:drawing>
          <wp:inline distT="0" distB="0" distL="0" distR="0">
            <wp:extent cx="130467" cy="38836"/>
            <wp:effectExtent l="0" t="0" r="0" b="0"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467" cy="3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4"/>
        </w:rPr>
        <w:t xml:space="preserve"> </w:t>
      </w:r>
      <w:r>
        <w:rPr>
          <w:sz w:val="13"/>
          <w:szCs w:val="13"/>
          <w:color w:val="231F20"/>
          <w:spacing w:val="7"/>
        </w:rPr>
        <w:t>关注类贷款</w:t>
      </w:r>
      <w:r>
        <w:rPr>
          <w:sz w:val="13"/>
          <w:szCs w:val="13"/>
          <w:color w:val="231F20"/>
          <w:spacing w:val="7"/>
        </w:rPr>
        <w:t xml:space="preserve">  </w:t>
      </w:r>
      <w:r>
        <w:rPr>
          <w:sz w:val="13"/>
          <w:szCs w:val="13"/>
          <w:color w:val="231F20"/>
          <w:spacing w:val="7"/>
        </w:rPr>
        <w:t>(左轴</w:t>
      </w:r>
      <w:r>
        <w:rPr>
          <w:sz w:val="13"/>
          <w:szCs w:val="13"/>
          <w:color w:val="231F20"/>
          <w:spacing w:val="15"/>
          <w:w w:val="103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 xml:space="preserve">       </w:t>
      </w:r>
      <w:r>
        <w:rPr>
          <w:sz w:val="13"/>
          <w:szCs w:val="13"/>
          <w:position w:val="1"/>
        </w:rPr>
        <w:drawing>
          <wp:inline distT="0" distB="0" distL="0" distR="0">
            <wp:extent cx="130467" cy="38836"/>
            <wp:effectExtent l="0" t="0" r="0" b="0"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467" cy="3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3"/>
          <w:szCs w:val="13"/>
          <w:color w:val="231F20"/>
          <w:spacing w:val="-8"/>
        </w:rPr>
        <w:t xml:space="preserve"> </w:t>
      </w:r>
      <w:r>
        <w:rPr>
          <w:sz w:val="13"/>
          <w:szCs w:val="13"/>
          <w:color w:val="231F20"/>
          <w:spacing w:val="7"/>
        </w:rPr>
        <w:t>不良贷款</w:t>
      </w:r>
      <w:r>
        <w:rPr>
          <w:sz w:val="13"/>
          <w:szCs w:val="13"/>
          <w:color w:val="231F20"/>
          <w:spacing w:val="7"/>
        </w:rPr>
        <w:t xml:space="preserve"> </w:t>
      </w:r>
      <w:r>
        <w:rPr>
          <w:sz w:val="13"/>
          <w:szCs w:val="13"/>
          <w:color w:val="231F20"/>
          <w:spacing w:val="6"/>
        </w:rPr>
        <w:t xml:space="preserve"> </w:t>
      </w:r>
      <w:r>
        <w:rPr>
          <w:sz w:val="13"/>
          <w:szCs w:val="13"/>
          <w:color w:val="231F20"/>
          <w:spacing w:val="6"/>
        </w:rPr>
        <w:t>(左轴</w:t>
      </w:r>
      <w:r>
        <w:rPr>
          <w:sz w:val="13"/>
          <w:szCs w:val="13"/>
          <w:color w:val="231F20"/>
          <w:spacing w:val="18"/>
          <w:w w:val="102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6"/>
        </w:rPr>
        <w:t>)</w:t>
      </w:r>
    </w:p>
    <w:p>
      <w:pPr>
        <w:pStyle w:val="BodyText"/>
        <w:ind w:left="593"/>
        <w:spacing w:before="46" w:line="134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rFonts w:ascii="DejaVu Sans" w:hAnsi="DejaVu Sans" w:eastAsia="DejaVu Sans" w:cs="DejaVu Sans"/>
          <w:sz w:val="13"/>
          <w:szCs w:val="13"/>
          <w:color w:val="90313D"/>
          <w:spacing w:val="9"/>
          <w:position w:val="-1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90313D"/>
          <w:spacing w:val="-1"/>
          <w:position w:val="-1"/>
        </w:rPr>
        <w:t xml:space="preserve"> </w:t>
      </w:r>
      <w:r>
        <w:rPr>
          <w:sz w:val="13"/>
          <w:szCs w:val="13"/>
          <w:color w:val="231F20"/>
          <w:spacing w:val="9"/>
          <w:position w:val="-1"/>
        </w:rPr>
        <w:t>不良贷款率</w:t>
      </w:r>
      <w:r>
        <w:rPr>
          <w:sz w:val="13"/>
          <w:szCs w:val="13"/>
          <w:color w:val="231F20"/>
          <w:spacing w:val="9"/>
          <w:position w:val="-1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  <w:position w:val="-1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  <w:position w:val="-1"/>
        </w:rPr>
        <w:t xml:space="preserve"> </w:t>
      </w:r>
      <w:r>
        <w:rPr>
          <w:sz w:val="13"/>
          <w:szCs w:val="13"/>
          <w:color w:val="231F20"/>
          <w:spacing w:val="9"/>
          <w:position w:val="-1"/>
        </w:rPr>
        <w:t>右轴</w:t>
      </w:r>
      <w:r>
        <w:rPr>
          <w:sz w:val="13"/>
          <w:szCs w:val="13"/>
          <w:color w:val="231F20"/>
          <w:spacing w:val="16"/>
          <w:w w:val="103"/>
          <w:position w:val="-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  <w:position w:val="-1"/>
        </w:rPr>
        <w:t>)</w:t>
      </w:r>
    </w:p>
    <w:p>
      <w:pPr>
        <w:ind w:firstLine="79"/>
        <w:spacing w:before="42" w:line="2287" w:lineRule="exact"/>
        <w:rPr/>
      </w:pPr>
      <w:r>
        <w:drawing>
          <wp:anchor distT="0" distB="0" distL="0" distR="0" simplePos="0" relativeHeight="251862016" behindDoc="1" locked="0" layoutInCell="1" allowOverlap="1">
            <wp:simplePos x="0" y="0"/>
            <wp:positionH relativeFrom="column">
              <wp:posOffset>356146</wp:posOffset>
            </wp:positionH>
            <wp:positionV relativeFrom="paragraph">
              <wp:posOffset>912961</wp:posOffset>
            </wp:positionV>
            <wp:extent cx="110654" cy="458076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54" cy="45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5328" behindDoc="1" locked="0" layoutInCell="1" allowOverlap="1">
            <wp:simplePos x="0" y="0"/>
            <wp:positionH relativeFrom="column">
              <wp:posOffset>549795</wp:posOffset>
            </wp:positionH>
            <wp:positionV relativeFrom="paragraph">
              <wp:posOffset>741206</wp:posOffset>
            </wp:positionV>
            <wp:extent cx="110642" cy="629831"/>
            <wp:effectExtent l="0" t="0" r="0" b="0"/>
            <wp:wrapNone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42" cy="629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6896" behindDoc="1" locked="0" layoutInCell="1" allowOverlap="1">
            <wp:simplePos x="0" y="0"/>
            <wp:positionH relativeFrom="column">
              <wp:posOffset>937069</wp:posOffset>
            </wp:positionH>
            <wp:positionV relativeFrom="paragraph">
              <wp:posOffset>626868</wp:posOffset>
            </wp:positionV>
            <wp:extent cx="110642" cy="744169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42" cy="744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2256" behindDoc="1" locked="0" layoutInCell="1" allowOverlap="1">
            <wp:simplePos x="0" y="0"/>
            <wp:positionH relativeFrom="column">
              <wp:posOffset>743432</wp:posOffset>
            </wp:positionH>
            <wp:positionV relativeFrom="paragraph">
              <wp:posOffset>639264</wp:posOffset>
            </wp:positionV>
            <wp:extent cx="110642" cy="731773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42" cy="73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4304" behindDoc="1" locked="0" layoutInCell="1" allowOverlap="1">
            <wp:simplePos x="0" y="0"/>
            <wp:positionH relativeFrom="column">
              <wp:posOffset>1130706</wp:posOffset>
            </wp:positionH>
            <wp:positionV relativeFrom="paragraph">
              <wp:posOffset>616759</wp:posOffset>
            </wp:positionV>
            <wp:extent cx="110655" cy="754278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55" cy="754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4544" behindDoc="1" locked="0" layoutInCell="1" allowOverlap="1">
            <wp:simplePos x="0" y="0"/>
            <wp:positionH relativeFrom="column">
              <wp:posOffset>1517993</wp:posOffset>
            </wp:positionH>
            <wp:positionV relativeFrom="paragraph">
              <wp:posOffset>546731</wp:posOffset>
            </wp:positionV>
            <wp:extent cx="110654" cy="824306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54" cy="824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6592" behindDoc="1" locked="0" layoutInCell="1" allowOverlap="1">
            <wp:simplePos x="0" y="0"/>
            <wp:positionH relativeFrom="column">
              <wp:posOffset>1711629</wp:posOffset>
            </wp:positionH>
            <wp:positionV relativeFrom="paragraph">
              <wp:posOffset>539835</wp:posOffset>
            </wp:positionV>
            <wp:extent cx="110654" cy="831202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54" cy="831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5568" behindDoc="1" locked="0" layoutInCell="1" allowOverlap="1">
            <wp:simplePos x="0" y="0"/>
            <wp:positionH relativeFrom="column">
              <wp:posOffset>1324356</wp:posOffset>
            </wp:positionH>
            <wp:positionV relativeFrom="paragraph">
              <wp:posOffset>548217</wp:posOffset>
            </wp:positionV>
            <wp:extent cx="110655" cy="822820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55" cy="82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7376" behindDoc="1" locked="0" layoutInCell="1" allowOverlap="1">
            <wp:simplePos x="0" y="0"/>
            <wp:positionH relativeFrom="column">
              <wp:posOffset>1905279</wp:posOffset>
            </wp:positionH>
            <wp:positionV relativeFrom="paragraph">
              <wp:posOffset>474290</wp:posOffset>
            </wp:positionV>
            <wp:extent cx="110654" cy="896747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54" cy="896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0448" behindDoc="1" locked="0" layoutInCell="1" allowOverlap="1">
            <wp:simplePos x="0" y="0"/>
            <wp:positionH relativeFrom="column">
              <wp:posOffset>2098916</wp:posOffset>
            </wp:positionH>
            <wp:positionV relativeFrom="paragraph">
              <wp:posOffset>396795</wp:posOffset>
            </wp:positionV>
            <wp:extent cx="110654" cy="974242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54" cy="974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3520" behindDoc="1" locked="0" layoutInCell="1" allowOverlap="1">
            <wp:simplePos x="0" y="0"/>
            <wp:positionH relativeFrom="column">
              <wp:posOffset>2292553</wp:posOffset>
            </wp:positionH>
            <wp:positionV relativeFrom="paragraph">
              <wp:posOffset>313280</wp:posOffset>
            </wp:positionV>
            <wp:extent cx="110655" cy="1057757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655" cy="105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5"/>
        </w:rPr>
        <w:drawing>
          <wp:inline distT="0" distB="0" distL="0" distR="0">
            <wp:extent cx="2544921" cy="1452389"/>
            <wp:effectExtent l="0" t="0" r="0" b="0"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44921" cy="145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9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图2-4    商业银行关注类贷款及不良贷款变化情况</w:t>
      </w:r>
    </w:p>
    <w:p>
      <w:pPr>
        <w:pStyle w:val="BodyText"/>
        <w:ind w:left="905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（数据来源：金融监管总局）</w:t>
      </w:r>
    </w:p>
    <w:p>
      <w:pPr>
        <w:pStyle w:val="BodyText"/>
        <w:ind w:left="4" w:right="355" w:firstLine="422"/>
        <w:spacing w:before="302" w:line="226" w:lineRule="auto"/>
        <w:jc w:val="both"/>
        <w:rPr/>
      </w:pPr>
      <w:r>
        <w:rPr>
          <w:color w:val="231F20"/>
          <w:spacing w:val="8"/>
        </w:rPr>
        <w:t>风险抵补能力充足。   截至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  <w:spacing w:val="8"/>
        </w:rPr>
        <w:t>年末，</w:t>
      </w:r>
      <w:r>
        <w:rPr>
          <w:color w:val="231F20"/>
        </w:rPr>
        <w:t xml:space="preserve">  </w:t>
      </w:r>
      <w:r>
        <w:rPr>
          <w:color w:val="231F20"/>
          <w:spacing w:val="10"/>
        </w:rPr>
        <w:t>商业银行贷款损失准备余额</w:t>
      </w:r>
      <w:r>
        <w:rPr>
          <w:rFonts w:ascii="Times New Roman" w:hAnsi="Times New Roman" w:eastAsia="Times New Roman" w:cs="Times New Roman"/>
          <w:color w:val="231F20"/>
          <w:spacing w:val="10"/>
        </w:rPr>
        <w:t>6.93</w:t>
      </w:r>
      <w:r>
        <w:rPr>
          <w:color w:val="231F20"/>
          <w:spacing w:val="10"/>
        </w:rPr>
        <w:t>万亿元，同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11"/>
        </w:rPr>
        <w:t>比增加</w:t>
      </w:r>
      <w:r>
        <w:rPr>
          <w:rFonts w:ascii="Times New Roman" w:hAnsi="Times New Roman" w:eastAsia="Times New Roman" w:cs="Times New Roman"/>
          <w:color w:val="231F20"/>
          <w:spacing w:val="11"/>
        </w:rPr>
        <w:t>3083</w:t>
      </w:r>
      <w:r>
        <w:rPr>
          <w:color w:val="231F20"/>
          <w:spacing w:val="11"/>
        </w:rPr>
        <w:t>亿元、增长</w:t>
      </w:r>
      <w:r>
        <w:rPr>
          <w:rFonts w:ascii="Times New Roman" w:hAnsi="Times New Roman" w:eastAsia="Times New Roman" w:cs="Times New Roman"/>
          <w:color w:val="231F20"/>
          <w:spacing w:val="11"/>
        </w:rPr>
        <w:t>4.66%</w:t>
      </w:r>
      <w:r>
        <w:rPr>
          <w:color w:val="231F20"/>
          <w:spacing w:val="11"/>
        </w:rPr>
        <w:t>；拨备覆盖率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211.19%</w:t>
      </w:r>
      <w:r>
        <w:rPr>
          <w:color w:val="231F20"/>
          <w:spacing w:val="4"/>
        </w:rPr>
        <w:t>，同比上升</w:t>
      </w:r>
      <w:r>
        <w:rPr>
          <w:rFonts w:ascii="Times New Roman" w:hAnsi="Times New Roman" w:eastAsia="Times New Roman" w:cs="Times New Roman"/>
          <w:color w:val="231F20"/>
          <w:spacing w:val="4"/>
        </w:rPr>
        <w:t>6.05</w:t>
      </w:r>
      <w:r>
        <w:rPr>
          <w:color w:val="231F20"/>
          <w:spacing w:val="4"/>
        </w:rPr>
        <w:t>个百分点；贷款拨备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39" w:line="179" w:lineRule="auto"/>
        <w:rPr/>
      </w:pPr>
      <w:r>
        <w:rPr>
          <w:color w:val="231F20"/>
          <w:spacing w:val="-2"/>
        </w:rPr>
        <w:t>率</w:t>
      </w:r>
      <w:r>
        <w:rPr>
          <w:rFonts w:ascii="Times New Roman" w:hAnsi="Times New Roman" w:eastAsia="Times New Roman" w:cs="Times New Roman"/>
          <w:color w:val="231F20"/>
          <w:spacing w:val="-2"/>
        </w:rPr>
        <w:t>3.18%</w:t>
      </w:r>
      <w:r>
        <w:rPr>
          <w:color w:val="231F20"/>
          <w:spacing w:val="-2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-2"/>
        </w:rPr>
        <w:t>0.09</w:t>
      </w:r>
      <w:r>
        <w:rPr>
          <w:color w:val="231F20"/>
          <w:spacing w:val="-2"/>
        </w:rPr>
        <w:t>个百分点。</w:t>
      </w:r>
    </w:p>
    <w:p>
      <w:pPr>
        <w:pStyle w:val="BodyText"/>
        <w:ind w:right="1" w:firstLine="427"/>
        <w:spacing w:before="121" w:line="249" w:lineRule="auto"/>
        <w:jc w:val="both"/>
        <w:rPr/>
      </w:pPr>
      <w:r>
        <w:rPr>
          <w:color w:val="231F20"/>
          <w:spacing w:val="1"/>
        </w:rPr>
        <w:t>流动性水平保持高位。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1"/>
        </w:rPr>
        <w:t>截至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年末，</w:t>
      </w:r>
      <w:r>
        <w:rPr>
          <w:color w:val="231F20"/>
        </w:rPr>
        <w:t xml:space="preserve">  </w:t>
      </w:r>
      <w:r>
        <w:rPr>
          <w:color w:val="231F20"/>
        </w:rPr>
        <w:t>商业银行流动性比例为</w:t>
      </w:r>
      <w:r>
        <w:rPr>
          <w:rFonts w:ascii="Times New Roman" w:hAnsi="Times New Roman" w:eastAsia="Times New Roman" w:cs="Times New Roman"/>
          <w:color w:val="231F20"/>
        </w:rPr>
        <w:t>76.74%</w:t>
      </w:r>
      <w:r>
        <w:rPr>
          <w:color w:val="231F20"/>
        </w:rPr>
        <w:t>，同比上</w:t>
      </w:r>
      <w:r>
        <w:rPr>
          <w:color w:val="231F20"/>
          <w:spacing w:val="-1"/>
        </w:rPr>
        <w:t>升</w:t>
      </w:r>
      <w:r>
        <w:rPr>
          <w:rFonts w:ascii="Times New Roman" w:hAnsi="Times New Roman" w:eastAsia="Times New Roman" w:cs="Times New Roman"/>
          <w:color w:val="231F20"/>
          <w:spacing w:val="-1"/>
        </w:rPr>
        <w:t>8.86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8"/>
        </w:rPr>
        <w:t>个百分点。资产规模在</w:t>
      </w:r>
      <w:r>
        <w:rPr>
          <w:rFonts w:ascii="Times New Roman" w:hAnsi="Times New Roman" w:eastAsia="Times New Roman" w:cs="Times New Roman"/>
          <w:color w:val="231F20"/>
          <w:spacing w:val="8"/>
        </w:rPr>
        <w:t>2000</w:t>
      </w:r>
      <w:r>
        <w:rPr>
          <w:color w:val="231F20"/>
          <w:spacing w:val="8"/>
        </w:rPr>
        <w:t>亿元以上的商业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银行流动性覆盖率为</w:t>
      </w:r>
      <w:r>
        <w:rPr>
          <w:rFonts w:ascii="Times New Roman" w:hAnsi="Times New Roman" w:eastAsia="Times New Roman" w:cs="Times New Roman"/>
          <w:color w:val="231F20"/>
          <w:spacing w:val="4"/>
        </w:rPr>
        <w:t>154.73%</w:t>
      </w:r>
      <w:r>
        <w:rPr>
          <w:color w:val="231F20"/>
          <w:spacing w:val="4"/>
        </w:rPr>
        <w:t>，同比上升</w:t>
      </w:r>
      <w:r>
        <w:rPr>
          <w:rFonts w:ascii="Times New Roman" w:hAnsi="Times New Roman" w:eastAsia="Times New Roman" w:cs="Times New Roman"/>
          <w:color w:val="231F20"/>
          <w:spacing w:val="4"/>
        </w:rPr>
        <w:t>3.13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1"/>
        </w:rPr>
        <w:t>个百分点；净稳定资金比例为</w:t>
      </w:r>
      <w:r>
        <w:rPr>
          <w:rFonts w:ascii="Times New Roman" w:hAnsi="Times New Roman" w:eastAsia="Times New Roman" w:cs="Times New Roman"/>
          <w:color w:val="231F20"/>
          <w:spacing w:val="1"/>
        </w:rPr>
        <w:t>128.02%</w:t>
      </w:r>
      <w:r>
        <w:rPr>
          <w:color w:val="231F20"/>
          <w:spacing w:val="1"/>
        </w:rPr>
        <w:t>，同比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  <w:spacing w:val="-3"/>
        </w:rPr>
        <w:t>上升</w:t>
      </w:r>
      <w:r>
        <w:rPr>
          <w:rFonts w:ascii="Times New Roman" w:hAnsi="Times New Roman" w:eastAsia="Times New Roman" w:cs="Times New Roman"/>
          <w:color w:val="231F20"/>
          <w:spacing w:val="-3"/>
        </w:rPr>
        <w:t>2.49</w:t>
      </w:r>
      <w:r>
        <w:rPr>
          <w:color w:val="231F20"/>
          <w:spacing w:val="-3"/>
        </w:rPr>
        <w:t>个百分点。</w:t>
      </w:r>
    </w:p>
    <w:p>
      <w:pPr>
        <w:pStyle w:val="BodyText"/>
        <w:ind w:firstLine="426"/>
        <w:spacing w:before="11" w:line="254" w:lineRule="auto"/>
        <w:jc w:val="both"/>
        <w:rPr/>
      </w:pPr>
      <w:r>
        <w:rPr>
          <w:color w:val="231F20"/>
          <w:spacing w:val="9"/>
        </w:rPr>
        <w:t>银行经营效益基本稳定。   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rFonts w:ascii="Times New Roman" w:hAnsi="Times New Roman" w:eastAsia="Times New Roman" w:cs="Times New Roman"/>
          <w:color w:val="231F20"/>
          <w:spacing w:val="-8"/>
        </w:rPr>
        <w:t xml:space="preserve"> </w:t>
      </w:r>
      <w:r>
        <w:rPr>
          <w:color w:val="231F20"/>
          <w:spacing w:val="9"/>
        </w:rPr>
        <w:t>年，商</w:t>
      </w:r>
      <w:r>
        <w:rPr>
          <w:color w:val="231F20"/>
        </w:rPr>
        <w:t xml:space="preserve"> </w:t>
      </w:r>
      <w:r>
        <w:rPr>
          <w:color w:val="231F20"/>
          <w:spacing w:val="20"/>
        </w:rPr>
        <w:t>业银行实现净利润</w:t>
      </w:r>
      <w:r>
        <w:rPr>
          <w:rFonts w:ascii="Times New Roman" w:hAnsi="Times New Roman" w:eastAsia="Times New Roman" w:cs="Times New Roman"/>
          <w:color w:val="231F20"/>
          <w:spacing w:val="20"/>
        </w:rPr>
        <w:t>2.32</w:t>
      </w:r>
      <w:r>
        <w:rPr>
          <w:rFonts w:ascii="Times New Roman" w:hAnsi="Times New Roman" w:eastAsia="Times New Roman" w:cs="Times New Roman"/>
          <w:color w:val="231F20"/>
          <w:spacing w:val="-20"/>
        </w:rPr>
        <w:t xml:space="preserve"> </w:t>
      </w:r>
      <w:r>
        <w:rPr>
          <w:color w:val="231F20"/>
          <w:spacing w:val="20"/>
        </w:rPr>
        <w:t>万亿元，同比下降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5"/>
        </w:rPr>
        <w:t>2.27%</w:t>
      </w:r>
      <w:r>
        <w:rPr>
          <w:color w:val="231F20"/>
          <w:spacing w:val="5"/>
        </w:rPr>
        <w:t>。商业银行净息差</w:t>
      </w:r>
      <w:r>
        <w:rPr>
          <w:rFonts w:ascii="Times New Roman" w:hAnsi="Times New Roman" w:eastAsia="Times New Roman" w:cs="Times New Roman"/>
          <w:color w:val="231F20"/>
          <w:spacing w:val="5"/>
        </w:rPr>
        <w:t>1.52%</w:t>
      </w:r>
      <w:r>
        <w:rPr>
          <w:color w:val="231F20"/>
          <w:spacing w:val="5"/>
        </w:rPr>
        <w:t>；非利息收入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占比为</w:t>
      </w:r>
      <w:r>
        <w:rPr>
          <w:rFonts w:ascii="Times New Roman" w:hAnsi="Times New Roman" w:eastAsia="Times New Roman" w:cs="Times New Roman"/>
          <w:color w:val="231F20"/>
        </w:rPr>
        <w:t>22.42%</w:t>
      </w:r>
      <w:r>
        <w:rPr>
          <w:color w:val="231F20"/>
        </w:rPr>
        <w:t>，同比上升</w:t>
      </w:r>
      <w:r>
        <w:rPr>
          <w:rFonts w:ascii="Times New Roman" w:hAnsi="Times New Roman" w:eastAsia="Times New Roman" w:cs="Times New Roman"/>
          <w:color w:val="231F20"/>
        </w:rPr>
        <w:t>2.49</w:t>
      </w:r>
      <w:r>
        <w:rPr>
          <w:color w:val="231F20"/>
        </w:rPr>
        <w:t>个</w:t>
      </w:r>
      <w:r>
        <w:rPr>
          <w:color w:val="231F20"/>
          <w:spacing w:val="-1"/>
        </w:rPr>
        <w:t>百分点（见图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9"/>
        </w:rPr>
        <w:t>2</w:t>
      </w:r>
      <w:r>
        <w:rPr>
          <w:color w:val="231F20"/>
          <w:spacing w:val="9"/>
        </w:rPr>
        <w:t>-</w:t>
      </w:r>
      <w:r>
        <w:rPr>
          <w:rFonts w:ascii="Times New Roman" w:hAnsi="Times New Roman" w:eastAsia="Times New Roman" w:cs="Times New Roman"/>
          <w:color w:val="231F20"/>
          <w:spacing w:val="9"/>
        </w:rPr>
        <w:t>5</w:t>
      </w:r>
      <w:r>
        <w:rPr>
          <w:color w:val="231F20"/>
          <w:spacing w:val="9"/>
        </w:rPr>
        <w:t>）。资产利润率</w:t>
      </w:r>
      <w:r>
        <w:rPr>
          <w:rFonts w:ascii="Times New Roman" w:hAnsi="Times New Roman" w:eastAsia="Times New Roman" w:cs="Times New Roman"/>
          <w:color w:val="231F20"/>
          <w:spacing w:val="9"/>
        </w:rPr>
        <w:t>0.63%</w:t>
      </w:r>
      <w:r>
        <w:rPr>
          <w:color w:val="231F20"/>
          <w:spacing w:val="9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9"/>
        </w:rPr>
        <w:t>0.07</w:t>
      </w:r>
      <w:r>
        <w:rPr>
          <w:color w:val="231F20"/>
          <w:spacing w:val="9"/>
        </w:rPr>
        <w:t>个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4"/>
        </w:rPr>
        <w:t>百分点；资本利润率</w:t>
      </w:r>
      <w:r>
        <w:rPr>
          <w:rFonts w:ascii="Times New Roman" w:hAnsi="Times New Roman" w:eastAsia="Times New Roman" w:cs="Times New Roman"/>
          <w:color w:val="231F20"/>
          <w:spacing w:val="4"/>
        </w:rPr>
        <w:t>8.10%</w:t>
      </w:r>
      <w:r>
        <w:rPr>
          <w:color w:val="231F20"/>
          <w:spacing w:val="4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4"/>
        </w:rPr>
        <w:t>0.83</w:t>
      </w:r>
      <w:r>
        <w:rPr>
          <w:color w:val="231F20"/>
          <w:spacing w:val="4"/>
        </w:rPr>
        <w:t>个 </w:t>
      </w:r>
      <w:r>
        <w:rPr>
          <w:color w:val="231F20"/>
          <w:spacing w:val="-7"/>
        </w:rPr>
        <w:t>百分点。</w:t>
      </w:r>
    </w:p>
    <w:p>
      <w:pPr>
        <w:pStyle w:val="BodyText"/>
        <w:ind w:left="538"/>
        <w:spacing w:before="219" w:line="133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231F20"/>
        </w:rPr>
        <w:drawing>
          <wp:inline distT="0" distB="0" distL="0" distR="0">
            <wp:extent cx="155194" cy="46215"/>
            <wp:effectExtent l="0" t="0" r="0" b="0"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5194" cy="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3"/>
          <w:w w:val="101"/>
        </w:rPr>
        <w:t xml:space="preserve"> </w:t>
      </w:r>
      <w:r>
        <w:rPr>
          <w:sz w:val="13"/>
          <w:szCs w:val="13"/>
          <w:color w:val="231F20"/>
          <w:spacing w:val="7"/>
        </w:rPr>
        <w:t>净利润</w:t>
      </w:r>
      <w:r>
        <w:rPr>
          <w:sz w:val="13"/>
          <w:szCs w:val="13"/>
          <w:color w:val="231F20"/>
          <w:spacing w:val="7"/>
        </w:rPr>
        <w:t xml:space="preserve">  </w:t>
      </w:r>
      <w:r>
        <w:rPr>
          <w:sz w:val="13"/>
          <w:szCs w:val="13"/>
          <w:color w:val="231F20"/>
          <w:spacing w:val="7"/>
        </w:rPr>
        <w:t>(左轴</w:t>
      </w:r>
      <w:r>
        <w:rPr>
          <w:sz w:val="13"/>
          <w:szCs w:val="13"/>
          <w:color w:val="231F20"/>
          <w:spacing w:val="18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 xml:space="preserve">    </w:t>
      </w:r>
      <w:r>
        <w:rPr>
          <w:rFonts w:ascii="DejaVu Sans" w:hAnsi="DejaVu Sans" w:eastAsia="DejaVu Sans" w:cs="DejaVu Sans"/>
          <w:sz w:val="13"/>
          <w:szCs w:val="13"/>
          <w:color w:val="EE4256"/>
          <w:spacing w:val="7"/>
        </w:rPr>
        <w:t>——</w:t>
      </w:r>
      <w:r>
        <w:rPr>
          <w:rFonts w:ascii="DejaVu Sans" w:hAnsi="DejaVu Sans" w:eastAsia="DejaVu Sans" w:cs="DejaVu Sans"/>
          <w:sz w:val="13"/>
          <w:szCs w:val="13"/>
          <w:color w:val="EE4256"/>
          <w:spacing w:val="-6"/>
        </w:rPr>
        <w:t xml:space="preserve"> </w:t>
      </w:r>
      <w:r>
        <w:rPr>
          <w:sz w:val="13"/>
          <w:szCs w:val="13"/>
          <w:color w:val="231F20"/>
          <w:spacing w:val="7"/>
        </w:rPr>
        <w:t>非利息收入占比</w:t>
      </w:r>
      <w:r>
        <w:rPr>
          <w:sz w:val="13"/>
          <w:szCs w:val="13"/>
          <w:color w:val="231F20"/>
          <w:spacing w:val="5"/>
        </w:rPr>
        <w:t xml:space="preserve">  </w:t>
      </w:r>
      <w:r>
        <w:rPr>
          <w:sz w:val="13"/>
          <w:szCs w:val="13"/>
          <w:color w:val="231F20"/>
          <w:spacing w:val="7"/>
        </w:rPr>
        <w:t>(右轴</w:t>
      </w:r>
      <w:r>
        <w:rPr>
          <w:sz w:val="13"/>
          <w:szCs w:val="13"/>
          <w:color w:val="231F20"/>
          <w:spacing w:val="16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>)</w:t>
      </w:r>
    </w:p>
    <w:p>
      <w:pPr>
        <w:ind w:firstLine="56"/>
        <w:spacing w:before="48" w:line="2514" w:lineRule="exact"/>
        <w:rPr/>
      </w:pPr>
      <w:r>
        <w:drawing>
          <wp:anchor distT="0" distB="0" distL="0" distR="0" simplePos="0" relativeHeight="251860992" behindDoc="1" locked="0" layoutInCell="1" allowOverlap="1">
            <wp:simplePos x="0" y="0"/>
            <wp:positionH relativeFrom="column">
              <wp:posOffset>345868</wp:posOffset>
            </wp:positionH>
            <wp:positionV relativeFrom="paragraph">
              <wp:posOffset>680770</wp:posOffset>
            </wp:positionV>
            <wp:extent cx="79337" cy="828573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37" cy="82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3040" behindDoc="1" locked="0" layoutInCell="1" allowOverlap="1">
            <wp:simplePos x="0" y="0"/>
            <wp:positionH relativeFrom="column">
              <wp:posOffset>544217</wp:posOffset>
            </wp:positionH>
            <wp:positionV relativeFrom="paragraph">
              <wp:posOffset>660629</wp:posOffset>
            </wp:positionV>
            <wp:extent cx="79349" cy="848715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49" cy="8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1472" behindDoc="1" locked="0" layoutInCell="1" allowOverlap="1">
            <wp:simplePos x="0" y="0"/>
            <wp:positionH relativeFrom="column">
              <wp:posOffset>742591</wp:posOffset>
            </wp:positionH>
            <wp:positionV relativeFrom="paragraph">
              <wp:posOffset>630580</wp:posOffset>
            </wp:positionV>
            <wp:extent cx="79337" cy="878763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37" cy="878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4064" behindDoc="1" locked="0" layoutInCell="1" allowOverlap="1">
            <wp:simplePos x="0" y="0"/>
            <wp:positionH relativeFrom="column">
              <wp:posOffset>940939</wp:posOffset>
            </wp:positionH>
            <wp:positionV relativeFrom="paragraph">
              <wp:posOffset>577964</wp:posOffset>
            </wp:positionV>
            <wp:extent cx="79349" cy="931367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49" cy="93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87616" behindDoc="1" locked="0" layoutInCell="1" allowOverlap="1">
            <wp:simplePos x="0" y="0"/>
            <wp:positionH relativeFrom="column">
              <wp:posOffset>1139301</wp:posOffset>
            </wp:positionH>
            <wp:positionV relativeFrom="paragraph">
              <wp:posOffset>534010</wp:posOffset>
            </wp:positionV>
            <wp:extent cx="79337" cy="975334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37" cy="97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76352" behindDoc="1" locked="0" layoutInCell="1" allowOverlap="1">
            <wp:simplePos x="0" y="0"/>
            <wp:positionH relativeFrom="column">
              <wp:posOffset>1337662</wp:posOffset>
            </wp:positionH>
            <wp:positionV relativeFrom="paragraph">
              <wp:posOffset>447141</wp:posOffset>
            </wp:positionV>
            <wp:extent cx="79337" cy="1062202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37" cy="106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9968" behindDoc="1" locked="0" layoutInCell="1" allowOverlap="1">
            <wp:simplePos x="0" y="0"/>
            <wp:positionH relativeFrom="column">
              <wp:posOffset>1536023</wp:posOffset>
            </wp:positionH>
            <wp:positionV relativeFrom="paragraph">
              <wp:posOffset>475920</wp:posOffset>
            </wp:positionV>
            <wp:extent cx="79337" cy="1033424"/>
            <wp:effectExtent l="0" t="0" r="0" b="0"/>
            <wp:wrapNone/>
            <wp:docPr id="234" name="IM 234"/>
            <wp:cNvGraphicFramePr/>
            <a:graphic>
              <a:graphicData uri="http://schemas.openxmlformats.org/drawingml/2006/picture">
                <pic:pic>
                  <pic:nvPicPr>
                    <pic:cNvPr id="234" name="IM 23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37" cy="1033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5872" behindDoc="1" locked="0" layoutInCell="1" allowOverlap="1">
            <wp:simplePos x="0" y="0"/>
            <wp:positionH relativeFrom="column">
              <wp:posOffset>1734372</wp:posOffset>
            </wp:positionH>
            <wp:positionV relativeFrom="paragraph">
              <wp:posOffset>345401</wp:posOffset>
            </wp:positionV>
            <wp:extent cx="79349" cy="1163929"/>
            <wp:effectExtent l="0" t="0" r="0" b="0"/>
            <wp:wrapNone/>
            <wp:docPr id="236" name="IM 236"/>
            <wp:cNvGraphicFramePr/>
            <a:graphic>
              <a:graphicData uri="http://schemas.openxmlformats.org/drawingml/2006/picture">
                <pic:pic>
                  <pic:nvPicPr>
                    <pic:cNvPr id="236" name="IM 236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49" cy="116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5088" behindDoc="1" locked="0" layoutInCell="1" allowOverlap="1">
            <wp:simplePos x="0" y="0"/>
            <wp:positionH relativeFrom="column">
              <wp:posOffset>1932733</wp:posOffset>
            </wp:positionH>
            <wp:positionV relativeFrom="paragraph">
              <wp:posOffset>282041</wp:posOffset>
            </wp:positionV>
            <wp:extent cx="79349" cy="1227302"/>
            <wp:effectExtent l="0" t="0" r="0" b="0"/>
            <wp:wrapNone/>
            <wp:docPr id="238" name="IM 238"/>
            <wp:cNvGraphicFramePr/>
            <a:graphic>
              <a:graphicData uri="http://schemas.openxmlformats.org/drawingml/2006/picture">
                <pic:pic>
                  <pic:nvPicPr>
                    <pic:cNvPr id="238" name="IM 23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49" cy="122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54848" behindDoc="1" locked="0" layoutInCell="1" allowOverlap="1">
            <wp:simplePos x="0" y="0"/>
            <wp:positionH relativeFrom="column">
              <wp:posOffset>2131094</wp:posOffset>
            </wp:positionH>
            <wp:positionV relativeFrom="paragraph">
              <wp:posOffset>242341</wp:posOffset>
            </wp:positionV>
            <wp:extent cx="79337" cy="1267002"/>
            <wp:effectExtent l="0" t="0" r="0" b="0"/>
            <wp:wrapNone/>
            <wp:docPr id="240" name="IM 240"/>
            <wp:cNvGraphicFramePr/>
            <a:graphic>
              <a:graphicData uri="http://schemas.openxmlformats.org/drawingml/2006/picture">
                <pic:pic>
                  <pic:nvPicPr>
                    <pic:cNvPr id="240" name="IM 240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37" cy="1267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67136" behindDoc="1" locked="0" layoutInCell="1" allowOverlap="1">
            <wp:simplePos x="0" y="0"/>
            <wp:positionH relativeFrom="column">
              <wp:posOffset>2329456</wp:posOffset>
            </wp:positionH>
            <wp:positionV relativeFrom="paragraph">
              <wp:posOffset>271119</wp:posOffset>
            </wp:positionV>
            <wp:extent cx="79337" cy="1238224"/>
            <wp:effectExtent l="0" t="0" r="0" b="0"/>
            <wp:wrapNone/>
            <wp:docPr id="242" name="IM 242"/>
            <wp:cNvGraphicFramePr/>
            <a:graphic>
              <a:graphicData uri="http://schemas.openxmlformats.org/drawingml/2006/picture">
                <pic:pic>
                  <pic:nvPicPr>
                    <pic:cNvPr id="242" name="IM 24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9337" cy="123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0"/>
        </w:rPr>
        <w:drawing>
          <wp:inline distT="0" distB="0" distL="0" distR="0">
            <wp:extent cx="2569499" cy="1596764"/>
            <wp:effectExtent l="0" t="0" r="0" b="0"/>
            <wp:docPr id="244" name="IM 244"/>
            <wp:cNvGraphicFramePr/>
            <a:graphic>
              <a:graphicData uri="http://schemas.openxmlformats.org/drawingml/2006/picture">
                <pic:pic>
                  <pic:nvPicPr>
                    <pic:cNvPr id="244" name="IM 244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9499" cy="159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5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图2-5    商业银行净利润和非利息收入占比变化情况</w:t>
      </w:r>
    </w:p>
    <w:p>
      <w:pPr>
        <w:pStyle w:val="BodyText"/>
        <w:ind w:left="901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（数据来源：金融监管总局）</w:t>
      </w:r>
    </w:p>
    <w:p>
      <w:pPr>
        <w:pStyle w:val="BodyText"/>
        <w:ind w:left="481"/>
        <w:spacing w:before="494" w:line="169" w:lineRule="auto"/>
        <w:outlineLvl w:val="0"/>
        <w:rPr>
          <w:sz w:val="28"/>
          <w:szCs w:val="28"/>
        </w:rPr>
      </w:pPr>
      <w:bookmarkStart w:name="bookmark6" w:id="20"/>
      <w:bookmarkEnd w:id="20"/>
      <w:r>
        <w:rPr>
          <w:sz w:val="28"/>
          <w:szCs w:val="28"/>
          <w:color w:val="174B8B"/>
          <w:spacing w:val="-4"/>
        </w:rPr>
        <w:t>三、展望</w:t>
      </w:r>
    </w:p>
    <w:p>
      <w:pPr>
        <w:pStyle w:val="BodyText"/>
        <w:ind w:left="1" w:firstLine="439"/>
        <w:spacing w:before="432" w:line="218" w:lineRule="auto"/>
        <w:jc w:val="both"/>
        <w:rPr/>
      </w:pPr>
      <w:r>
        <w:rPr>
          <w:color w:val="231F20"/>
          <w:spacing w:val="22"/>
        </w:rPr>
        <w:t>当前外部环境变化带来的不利影响加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深，国内有效需求不足、风险隐患较多等困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难和挑战仍然存在，但我国经济基础稳、优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势多、韧性强、潜能大，长期向好的支撑条</w:t>
      </w:r>
    </w:p>
    <w:p>
      <w:pPr>
        <w:spacing w:line="218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5" w:space="100"/>
            <w:col w:w="4164" w:space="0"/>
          </w:cols>
        </w:sectPr>
        <w:rPr/>
      </w:pPr>
    </w:p>
    <w:p>
      <w:pPr>
        <w:spacing w:before="155"/>
        <w:rPr/>
      </w:pPr>
      <w:r/>
    </w:p>
    <w:p>
      <w:pPr>
        <w:sectPr>
          <w:headerReference w:type="default" r:id="rId126"/>
          <w:pgSz w:w="11906" w:h="16158"/>
          <w:pgMar w:top="1383" w:right="1416" w:bottom="400" w:left="1700" w:header="1060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4" w:right="251"/>
        <w:spacing w:before="44" w:line="249" w:lineRule="auto"/>
        <w:jc w:val="both"/>
        <w:rPr/>
      </w:pPr>
      <w:bookmarkStart w:name="bookmark43" w:id="21"/>
      <w:bookmarkEnd w:id="21"/>
      <w:r>
        <w:rPr>
          <w:color w:val="231F20"/>
          <w:spacing w:val="9"/>
        </w:rPr>
        <w:t>件和基本趋势没有变。</w:t>
      </w:r>
      <w:r>
        <w:rPr>
          <w:color w:val="231F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9"/>
        </w:rPr>
        <w:t>2025</w:t>
      </w:r>
      <w:r>
        <w:rPr>
          <w:color w:val="231F20"/>
          <w:spacing w:val="9"/>
        </w:rPr>
        <w:t>年是“十四</w:t>
      </w:r>
      <w:r>
        <w:rPr>
          <w:color w:val="231F20"/>
          <w:spacing w:val="8"/>
        </w:rPr>
        <w:t>五”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规划收官之年，要引导大型商业银行发挥金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融服务实体经济主力军作用，推动中小银行</w:t>
      </w:r>
      <w:r>
        <w:rPr>
          <w:color w:val="231F20"/>
        </w:rPr>
        <w:t xml:space="preserve">   </w:t>
      </w:r>
      <w:r>
        <w:rPr>
          <w:color w:val="231F20"/>
          <w:spacing w:val="21"/>
        </w:rPr>
        <w:t>聚焦主责主业，扎实做好金融“五篇大文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章”，支持银行多渠道补充资本，有效维护</w:t>
      </w:r>
      <w:r>
        <w:rPr>
          <w:color w:val="231F20"/>
        </w:rPr>
        <w:t xml:space="preserve">   </w:t>
      </w:r>
      <w:r>
        <w:rPr>
          <w:color w:val="231F20"/>
          <w:spacing w:val="-4"/>
        </w:rPr>
        <w:t>金融市场稳定发展。</w:t>
      </w:r>
    </w:p>
    <w:p>
      <w:pPr>
        <w:pStyle w:val="BodyText"/>
        <w:ind w:left="4" w:right="355" w:firstLine="434"/>
        <w:spacing w:before="7" w:line="249" w:lineRule="auto"/>
        <w:jc w:val="both"/>
        <w:rPr/>
      </w:pPr>
      <w:r>
        <w:rPr>
          <w:color w:val="231F20"/>
          <w:spacing w:val="11"/>
        </w:rPr>
        <w:t>实施好适度宽松的货币政策。   把促进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9"/>
        </w:rPr>
        <w:t>经济稳定增长、物价合理回升作为货币政策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的重要参考，灵活高效运用多种货币政策工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具，把握好政策实施的力度、节奏和时机，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保持流动性充裕，促进社会融资成本低位运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行，加强对实体经济的金融支持。畅通货币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政策传导机制，优化结构性货币政策工具运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用，激励和引导金融机构加力支持扩大内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需、科技创新、中小微企业等重点领域。</w:t>
      </w:r>
    </w:p>
    <w:p>
      <w:pPr>
        <w:pStyle w:val="BodyText"/>
        <w:ind w:left="5" w:right="355" w:firstLine="426"/>
        <w:spacing w:before="7" w:line="249" w:lineRule="auto"/>
        <w:jc w:val="both"/>
        <w:rPr/>
      </w:pPr>
      <w:r>
        <w:rPr>
          <w:color w:val="231F20"/>
          <w:spacing w:val="23"/>
        </w:rPr>
        <w:t>推动构建多层次、广覆盖、有差异的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银行业金融机构体系。  推动国有大型商业银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9"/>
        </w:rPr>
        <w:t>行、股份制银行、中小银行等不同类型机构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坚守合理定位并形成分工协作的金融服务体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系。优化地方中小银行区域布局，积极引导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中小银行结合自身禀赋，针对性地优化“五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6"/>
        <w:spacing w:before="39" w:line="182" w:lineRule="auto"/>
        <w:rPr/>
      </w:pPr>
      <w:r>
        <w:rPr>
          <w:color w:val="231F20"/>
          <w:spacing w:val="-3"/>
        </w:rPr>
        <w:t>篇大文章”金融产品和服务。</w:t>
      </w:r>
    </w:p>
    <w:p>
      <w:pPr>
        <w:pStyle w:val="BodyText"/>
        <w:ind w:firstLine="427"/>
        <w:spacing w:before="118" w:line="249" w:lineRule="auto"/>
        <w:jc w:val="both"/>
        <w:rPr/>
      </w:pPr>
      <w:r>
        <w:rPr>
          <w:color w:val="231F20"/>
          <w:spacing w:val="23"/>
        </w:rPr>
        <w:t>稳妥有序推进重点领域风险化解与处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7"/>
        </w:rPr>
        <w:t>置。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7"/>
        </w:rPr>
        <w:t>继续做好金融支持地方政府融资平台债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务风险化解工作，引导金融机构按照市场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9"/>
        </w:rPr>
        <w:t>化、法治化原则，与融资平台平等协商，通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过降低利率、延长期限等债务重组的方式，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缓解融资平台的流动性和利息负担。完善和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加强房地产金融宏观审慎管理，支持构建房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1"/>
        </w:rPr>
        <w:t>地产发展新模式。坚持市场化、法治化原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</w:rPr>
        <w:t>则，积极支持中小银行风险处置。</w:t>
      </w:r>
    </w:p>
    <w:p>
      <w:pPr>
        <w:pStyle w:val="BodyText"/>
        <w:ind w:left="1" w:firstLine="432"/>
        <w:spacing w:before="6" w:line="253" w:lineRule="auto"/>
        <w:rPr/>
      </w:pPr>
      <w:r>
        <w:rPr>
          <w:color w:val="231F20"/>
        </w:rPr>
        <w:t>强化金融稳定保障体系建设。   强化科技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9"/>
        </w:rPr>
        <w:t>赋能，持续优化金融稳定风险监测预警工作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框架。加强部门协同，推动硬约束早期纠正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工作常态化、规范化。推动建立权责对等、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激励约束相容的金融风险处置责任机制。探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索拓展中央银行宏观审慎与金融稳定功能，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丰富维护金融稳定的政策工具箱，充实存款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保险基金、金融稳定保障基金等化险资源，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筑牢有效防控系统性金融风险的金融稳定保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障体系。</w:t>
      </w:r>
    </w:p>
    <w:p>
      <w:pPr>
        <w:spacing w:line="253" w:lineRule="auto"/>
        <w:sectPr>
          <w:type w:val="continuous"/>
          <w:pgSz w:w="11906" w:h="16158"/>
          <w:pgMar w:top="1383" w:right="1416" w:bottom="400" w:left="1700" w:header="1060" w:footer="0" w:gutter="0"/>
          <w:cols w:equalWidth="0" w:num="2">
            <w:col w:w="4524" w:space="100"/>
            <w:col w:w="4165" w:space="0"/>
          </w:cols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ind w:left="299"/>
        <w:spacing w:before="135" w:line="173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9580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-99438</wp:posOffset>
                </wp:positionV>
                <wp:extent cx="5580380" cy="2014220"/>
                <wp:effectExtent l="0" t="0" r="0" b="0"/>
                <wp:wrapNone/>
                <wp:docPr id="246" name="Rect 246"/>
                <wp:cNvGraphicFramePr/>
                <a:graphic>
                  <a:graphicData uri="http://schemas.microsoft.com/office/word/2010/wordprocessingShape">
                    <wps:wsp>
                      <wps:cNvPr id="246" name="Rect 246"/>
                      <wps:cNvSpPr/>
                      <wps:spPr>
                        <a:xfrm>
                          <a:off x="0" y="-99438"/>
                          <a:ext cx="5580380" cy="201422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" style="position:absolute;margin-left:0pt;margin-top:-7.82977pt;mso-position-vertical-relative:text;mso-position-horizontal-relative:text;width:439.4pt;height:158.6pt;z-index:-251420672;" fillcolor="#D4E5F5" filled="true" stroked="false"/>
            </w:pict>
          </mc:Fallback>
        </mc:AlternateContent>
      </w:r>
      <w:bookmarkStart w:name="bookmark23" w:id="22"/>
      <w:bookmarkEnd w:id="22"/>
      <w:r>
        <w:rPr>
          <w:sz w:val="28"/>
          <w:szCs w:val="28"/>
          <w:color w:val="231F20"/>
          <w:spacing w:val="-7"/>
        </w:rPr>
        <w:t>专栏六     市场利率定价自律机制有效提升金融服务实体经济可持续性</w:t>
      </w:r>
    </w:p>
    <w:p>
      <w:pPr>
        <w:spacing w:line="326" w:lineRule="exact"/>
        <w:rPr/>
      </w:pPr>
      <w:r/>
    </w:p>
    <w:p>
      <w:pPr>
        <w:spacing w:line="326" w:lineRule="exact"/>
        <w:sectPr>
          <w:type w:val="continuous"/>
          <w:pgSz w:w="11906" w:h="16158"/>
          <w:pgMar w:top="1383" w:right="1416" w:bottom="400" w:left="1700" w:header="1060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93" w:right="361" w:firstLine="421"/>
        <w:spacing w:before="44" w:line="227" w:lineRule="auto"/>
        <w:jc w:val="both"/>
        <w:rPr/>
      </w:pPr>
      <w:r>
        <w:rPr>
          <w:color w:val="231F20"/>
          <w:spacing w:val="7"/>
        </w:rPr>
        <w:t>2013年9月，中国人民银行指导成立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了市场利率定价自律机制（以下简称利率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自律机制</w:t>
      </w:r>
      <w:r>
        <w:rPr>
          <w:color w:val="231F20"/>
          <w:spacing w:val="5"/>
        </w:rPr>
        <w:t>），</w:t>
      </w:r>
      <w:r>
        <w:rPr>
          <w:color w:val="231F20"/>
          <w:spacing w:val="3"/>
        </w:rPr>
        <w:t>发挥行业自律和协调作用，</w:t>
      </w:r>
      <w:r>
        <w:rPr>
          <w:color w:val="231F20"/>
        </w:rPr>
        <w:t xml:space="preserve">  </w:t>
      </w:r>
      <w:r>
        <w:rPr>
          <w:color w:val="231F20"/>
          <w:spacing w:val="5"/>
        </w:rPr>
        <w:t>成为金融管理部门的重要延伸和推进利率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市场化改革的基础性制度安排。2024年以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4" w:firstLine="9"/>
        <w:spacing w:before="42" w:line="227" w:lineRule="auto"/>
        <w:rPr/>
      </w:pPr>
      <w:r>
        <w:rPr>
          <w:color w:val="231F20"/>
          <w:spacing w:val="3"/>
        </w:rPr>
        <w:t>来，中国人民银行认真贯彻落实党中央、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7"/>
        </w:rPr>
        <w:t>国务院决策部署，持续深化利率市场化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改革，强化利率政策执行，更好地发挥利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率自律机制作用，综合整治“内卷式”竞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7"/>
        </w:rPr>
        <w:t>争，引导金融机构提升自主理性定价能</w:t>
      </w:r>
    </w:p>
    <w:p>
      <w:pPr>
        <w:spacing w:line="227" w:lineRule="auto"/>
        <w:sectPr>
          <w:type w:val="continuous"/>
          <w:pgSz w:w="11906" w:h="16158"/>
          <w:pgMar w:top="1383" w:right="1416" w:bottom="400" w:left="1700" w:header="1060" w:footer="0" w:gutter="0"/>
          <w:cols w:equalWidth="0" w:num="2">
            <w:col w:w="4529" w:space="100"/>
            <w:col w:w="4160" w:space="0"/>
          </w:cols>
        </w:sectPr>
        <w:rPr/>
      </w:pPr>
    </w:p>
    <w:p>
      <w:pPr>
        <w:spacing w:before="336"/>
        <w:rPr/>
      </w:pPr>
      <w:r/>
    </w:p>
    <w:p>
      <w:pPr>
        <w:sectPr>
          <w:headerReference w:type="default" r:id="rId127"/>
          <w:pgSz w:w="11906" w:h="16158"/>
          <w:pgMar w:top="1367" w:right="1700" w:bottom="400" w:left="1417" w:header="1044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302"/>
        <w:spacing w:before="46" w:line="190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040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-114200</wp:posOffset>
                </wp:positionV>
                <wp:extent cx="5580380" cy="7889240"/>
                <wp:effectExtent l="0" t="0" r="0" b="0"/>
                <wp:wrapNone/>
                <wp:docPr id="250" name="Rect 250"/>
                <wp:cNvGraphicFramePr/>
                <a:graphic>
                  <a:graphicData uri="http://schemas.microsoft.com/office/word/2010/wordprocessingShape">
                    <wps:wsp>
                      <wps:cNvPr id="250" name="Rect 250"/>
                      <wps:cNvSpPr/>
                      <wps:spPr>
                        <a:xfrm>
                          <a:off x="0" y="-114200"/>
                          <a:ext cx="5580380" cy="78892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" style="position:absolute;margin-left:0pt;margin-top:-8.99213pt;mso-position-vertical-relative:text;mso-position-horizontal-relative:text;width:439.4pt;height:621.2pt;z-index:-251412480;" fillcolor="#D4E5F5" filled="true" stroked="false"/>
            </w:pict>
          </mc:Fallback>
        </mc:AlternateContent>
      </w:r>
      <w:bookmarkStart w:name="bookmark44" w:id="23"/>
      <w:bookmarkEnd w:id="23"/>
      <w:r>
        <w:rPr>
          <w:color w:val="231F20"/>
          <w:spacing w:val="-3"/>
        </w:rPr>
        <w:t>力，提升金融服务实体经济可持续性。</w:t>
      </w:r>
    </w:p>
    <w:p>
      <w:pPr>
        <w:pStyle w:val="BodyText"/>
        <w:ind w:left="291" w:right="374" w:firstLine="430"/>
        <w:spacing w:before="91" w:line="252" w:lineRule="auto"/>
        <w:rPr/>
      </w:pPr>
      <w:r>
        <w:rPr>
          <w:color w:val="231F20"/>
          <w:spacing w:val="4"/>
        </w:rPr>
        <w:t>一、利率市场化改革进入深水区，需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更好发挥利率自律机制重要作用</w:t>
      </w:r>
    </w:p>
    <w:p>
      <w:pPr>
        <w:pStyle w:val="BodyText"/>
        <w:ind w:left="293" w:right="355" w:firstLine="450"/>
        <w:spacing w:before="2" w:line="249" w:lineRule="auto"/>
        <w:rPr/>
      </w:pPr>
      <w:r>
        <w:rPr>
          <w:color w:val="231F20"/>
          <w:spacing w:val="18"/>
        </w:rPr>
        <w:t>中国人民银行按照“放得开、形得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成、调得了”的总体思路，稳步推进利率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市场化改革。</w:t>
      </w:r>
    </w:p>
    <w:p>
      <w:pPr>
        <w:pStyle w:val="BodyText"/>
        <w:ind w:left="285" w:right="355" w:firstLine="422"/>
        <w:spacing w:before="7" w:line="249" w:lineRule="auto"/>
        <w:jc w:val="both"/>
        <w:rPr/>
      </w:pPr>
      <w:r>
        <w:rPr>
          <w:color w:val="231F20"/>
          <w:spacing w:val="-3"/>
        </w:rPr>
        <w:t>“放得开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</w:rPr>
        <w:t>”的 目标基本实现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。 目前，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对利率的行政性管制已经放开，基本建立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了市场化的利率形成和传导机制，以及较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为完整的市场化利率体系。中国人民银行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0"/>
        </w:rPr>
        <w:t>通过调整政策利率（即7天期逆回购操作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利率</w:t>
      </w:r>
      <w:r>
        <w:rPr>
          <w:color w:val="231F20"/>
          <w:spacing w:val="10"/>
        </w:rPr>
        <w:t>），</w:t>
      </w:r>
      <w:r>
        <w:rPr>
          <w:color w:val="231F20"/>
          <w:spacing w:val="5"/>
        </w:rPr>
        <w:t>影响货币市场利率和债券市场利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率，并影响存贷款利率，进而促进消费和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投资，提升社会总需求，支持经济发展，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-3"/>
        </w:rPr>
        <w:t>利率政策传导效率提升。</w:t>
      </w:r>
    </w:p>
    <w:p>
      <w:pPr>
        <w:pStyle w:val="BodyText"/>
        <w:ind w:left="286" w:right="250" w:firstLine="421"/>
        <w:spacing w:before="1" w:line="249" w:lineRule="auto"/>
        <w:rPr/>
      </w:pPr>
      <w:r>
        <w:rPr>
          <w:color w:val="231F20"/>
          <w:spacing w:val="6"/>
        </w:rPr>
        <w:t>“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6"/>
        </w:rPr>
        <w:t>形得成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6"/>
        </w:rPr>
        <w:t>”和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6"/>
        </w:rPr>
        <w:t>“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6"/>
        </w:rPr>
        <w:t>调得 了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6"/>
        </w:rPr>
        <w:t>”仍任重道</w:t>
      </w:r>
      <w:r>
        <w:rPr>
          <w:color w:val="231F20"/>
        </w:rPr>
        <w:t xml:space="preserve">   </w:t>
      </w:r>
      <w:r>
        <w:rPr>
          <w:color w:val="231F20"/>
          <w:spacing w:val="17"/>
        </w:rPr>
        <w:t>远 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7"/>
        </w:rPr>
        <w:t>贷款市场报价利率（</w:t>
      </w:r>
      <w:r>
        <w:rPr>
          <w:color w:val="231F20"/>
        </w:rPr>
        <w:t>LPR</w:t>
      </w:r>
      <w:r>
        <w:rPr>
          <w:color w:val="231F20"/>
          <w:spacing w:val="17"/>
        </w:rPr>
        <w:t>）改革以</w:t>
      </w:r>
      <w:r>
        <w:rPr>
          <w:color w:val="231F20"/>
        </w:rPr>
        <w:t xml:space="preserve">   </w:t>
      </w:r>
      <w:r>
        <w:rPr>
          <w:color w:val="231F20"/>
          <w:spacing w:val="11"/>
        </w:rPr>
        <w:t>来，由于银行定价能力不足、“内卷式”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竞争等因素，贷款利率降幅明显超过政策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利率，而存款利率降幅则明显低于政策利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4"/>
        </w:rPr>
        <w:t>率，在一定程度上导致银行净息差收窄、</w:t>
      </w:r>
      <w:r>
        <w:rPr>
          <w:color w:val="231F20"/>
        </w:rPr>
        <w:t xml:space="preserve">    </w:t>
      </w:r>
      <w:r>
        <w:rPr>
          <w:color w:val="231F20"/>
          <w:spacing w:val="5"/>
        </w:rPr>
        <w:t>盈利能力下降，不利于银行稳健经营和可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持续支持实体经济，也不利于引导金融资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源优化配置。因此，促进“形得成”“调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3"/>
        </w:rPr>
        <w:t>得了”，要充分发挥利率自律机制作用，</w:t>
      </w:r>
      <w:r>
        <w:rPr>
          <w:color w:val="231F20"/>
          <w:spacing w:val="2"/>
        </w:rPr>
        <w:t xml:space="preserve">    </w:t>
      </w:r>
      <w:r>
        <w:rPr>
          <w:color w:val="231F20"/>
          <w:spacing w:val="-3"/>
        </w:rPr>
        <w:t>强化利率政策执行。</w:t>
      </w:r>
    </w:p>
    <w:p>
      <w:pPr>
        <w:pStyle w:val="BodyText"/>
        <w:ind w:left="298" w:right="393" w:firstLine="422"/>
        <w:spacing w:before="2" w:line="251" w:lineRule="auto"/>
        <w:rPr/>
      </w:pPr>
      <w:r>
        <w:rPr>
          <w:color w:val="231F20"/>
          <w:spacing w:val="3"/>
        </w:rPr>
        <w:t>二、多措并举、存贷款“两手抓”，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强化利率政策执行，维护市场竞争秩序</w:t>
      </w:r>
    </w:p>
    <w:p>
      <w:pPr>
        <w:pStyle w:val="BodyText"/>
        <w:ind w:left="715"/>
        <w:spacing w:line="229" w:lineRule="exact"/>
        <w:rPr/>
      </w:pPr>
      <w:r>
        <w:rPr>
          <w:color w:val="231F20"/>
          <w:spacing w:val="2"/>
          <w:position w:val="-1"/>
        </w:rPr>
        <w:t>2024年，中国人民银行充分发挥利率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5" w:right="283" w:firstLine="45"/>
        <w:spacing w:before="45" w:line="249" w:lineRule="auto"/>
        <w:rPr/>
      </w:pPr>
      <w:r>
        <w:rPr>
          <w:color w:val="231F20"/>
          <w:spacing w:val="2"/>
        </w:rPr>
        <w:t>自律机制作用，存贷款“两手抓”，强化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利率政策执行，取得明显成效。</w:t>
      </w:r>
    </w:p>
    <w:p>
      <w:pPr>
        <w:pStyle w:val="BodyText"/>
        <w:ind w:right="278" w:firstLine="428"/>
        <w:spacing w:before="7" w:line="249" w:lineRule="auto"/>
        <w:rPr/>
      </w:pPr>
      <w:r>
        <w:rPr>
          <w:color w:val="231F20"/>
          <w:spacing w:val="1"/>
        </w:rPr>
        <w:t>在存款端 ，一是整改违规手工补息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。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2024年4月，中国人民银行指导利率自律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5"/>
        </w:rPr>
        <w:t>机制发布《关于禁止通过手工补息高息揽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储     维护存款市场竞争秩序的倡议》，督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促银行完善利率定价内部管理，整改违规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手工补息，治理资金空转套利。整改完成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后，每年银行可节省利息支出超800亿元，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企业套利行为明显减少，存款市场竞争秩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序进一步规范。</w:t>
      </w:r>
    </w:p>
    <w:p>
      <w:pPr>
        <w:pStyle w:val="BodyText"/>
        <w:ind w:right="283" w:firstLine="432"/>
        <w:spacing w:before="8" w:line="249" w:lineRule="auto"/>
        <w:jc w:val="both"/>
        <w:rPr/>
      </w:pPr>
      <w:r>
        <w:rPr>
          <w:color w:val="231F20"/>
          <w:spacing w:val="19"/>
        </w:rPr>
        <w:t>二是有效落实存款利率联动调整机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制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5"/>
        </w:rPr>
        <w:t>。2024年7月，中国人民银行指导利率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自律机制建立和完善存款利率联动调整机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制，鼓励和引导地方法人金融机构及时跟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随国有银行和主要股份制银行调整存款利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8"/>
        </w:rPr>
        <w:t>率，提高存款利率传导效率，稳定银行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负债成本。2024年10月，全国主要银行主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8"/>
        </w:rPr>
        <w:t>动下调存款利率后，超九成地方法人金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融机构跟随下调挂牌利率，平均下调28个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基点。</w:t>
      </w:r>
    </w:p>
    <w:p>
      <w:pPr>
        <w:pStyle w:val="BodyText"/>
        <w:ind w:left="1" w:right="178" w:firstLine="433"/>
        <w:spacing w:before="3" w:line="235" w:lineRule="auto"/>
        <w:rPr/>
      </w:pPr>
      <w:r>
        <w:rPr>
          <w:color w:val="231F20"/>
          <w:spacing w:val="5"/>
        </w:rPr>
        <w:t>三是建立存款招投标利率报备机制并</w:t>
      </w:r>
      <w:r>
        <w:rPr>
          <w:color w:val="231F20"/>
          <w:spacing w:val="1"/>
        </w:rPr>
        <w:t xml:space="preserve">   </w:t>
      </w:r>
      <w:r>
        <w:rPr>
          <w:color w:val="231F20"/>
          <w:spacing w:val="-6"/>
        </w:rPr>
        <w:t>引入兜底条款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</w:rPr>
        <w:t>。2024年7月，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中国人民银行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>指导建立存款招投标利率报备机制，将通</w:t>
      </w:r>
      <w:r>
        <w:rPr>
          <w:color w:val="231F20"/>
          <w:spacing w:val="2"/>
        </w:rPr>
        <w:t xml:space="preserve">   </w:t>
      </w:r>
      <w:r>
        <w:rPr>
          <w:color w:val="231F20"/>
          <w:spacing w:val="5"/>
        </w:rPr>
        <w:t>过招标公告等形式报价的存款业务纳入报</w:t>
      </w:r>
      <w:r>
        <w:rPr>
          <w:color w:val="231F20"/>
          <w:spacing w:val="2"/>
        </w:rPr>
        <w:t xml:space="preserve">   </w:t>
      </w:r>
      <w:r>
        <w:rPr>
          <w:color w:val="231F20"/>
          <w:spacing w:val="4"/>
        </w:rPr>
        <w:t>备范围，有序规范存款招投标竞争秩序。</w:t>
      </w:r>
      <w:r>
        <w:rPr>
          <w:color w:val="231F20"/>
        </w:rPr>
        <w:t xml:space="preserve">    </w:t>
      </w:r>
      <w:r>
        <w:rPr>
          <w:color w:val="231F20"/>
          <w:spacing w:val="3"/>
        </w:rPr>
        <w:t>11月，指导利率自律机制发布《关于在存</w:t>
      </w:r>
      <w:r>
        <w:rPr>
          <w:color w:val="231F20"/>
          <w:spacing w:val="5"/>
        </w:rPr>
        <w:t xml:space="preserve">   </w:t>
      </w:r>
      <w:r>
        <w:rPr>
          <w:color w:val="231F20"/>
          <w:spacing w:val="11"/>
        </w:rPr>
        <w:t>款服务协议中引入“利率调整兜底条款”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5"/>
        </w:rPr>
        <w:t>的自律倡议》，避免通过签订期限较长的</w:t>
      </w:r>
    </w:p>
    <w:p>
      <w:pPr>
        <w:spacing w:line="235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3" w:space="100"/>
            <w:col w:w="4165" w:space="0"/>
          </w:cols>
        </w:sectPr>
        <w:rPr/>
      </w:pPr>
    </w:p>
    <w:p>
      <w:pPr>
        <w:spacing w:before="319"/>
        <w:rPr/>
      </w:pPr>
      <w:r/>
    </w:p>
    <w:p>
      <w:pPr>
        <w:sectPr>
          <w:headerReference w:type="default" r:id="rId128"/>
          <w:pgSz w:w="11906" w:h="16158"/>
          <w:pgMar w:top="1383" w:right="1417" w:bottom="400" w:left="1700" w:header="1060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5" w:right="355"/>
        <w:spacing w:before="49" w:line="249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121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-112391</wp:posOffset>
                </wp:positionV>
                <wp:extent cx="5580380" cy="7355840"/>
                <wp:effectExtent l="0" t="0" r="0" b="0"/>
                <wp:wrapNone/>
                <wp:docPr id="252" name="Rect 252"/>
                <wp:cNvGraphicFramePr/>
                <a:graphic>
                  <a:graphicData uri="http://schemas.microsoft.com/office/word/2010/wordprocessingShape">
                    <wps:wsp>
                      <wps:cNvPr id="252" name="Rect 252"/>
                      <wps:cNvSpPr/>
                      <wps:spPr>
                        <a:xfrm>
                          <a:off x="0" y="-112391"/>
                          <a:ext cx="5580380" cy="73558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" style="position:absolute;margin-left:0pt;margin-top:-8.84973pt;mso-position-vertical-relative:text;mso-position-horizontal-relative:text;width:439.4pt;height:579.2pt;z-index:-251404288;" fillcolor="#D4E5F5" filled="true" stroked="false"/>
            </w:pict>
          </mc:Fallback>
        </mc:AlternateContent>
      </w:r>
      <w:r>
        <w:rPr>
          <w:color w:val="231F20"/>
        </w:rPr>
        <w:t>服务协议锁定存款利率。截至2024年末，</w:t>
      </w:r>
      <w:r>
        <w:rPr>
          <w:color w:val="231F20"/>
          <w:spacing w:val="9"/>
        </w:rPr>
        <w:t xml:space="preserve">  </w:t>
      </w:r>
      <w:r>
        <w:rPr>
          <w:color w:val="231F20"/>
          <w:spacing w:val="12"/>
        </w:rPr>
        <w:t>金融机构已累计备案存款招投标业务2.8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万笔，其中超六成服务协议已增加兜底条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款，银行利率风险管理能力进一步加强。</w:t>
      </w:r>
    </w:p>
    <w:p>
      <w:pPr>
        <w:pStyle w:val="BodyText"/>
        <w:ind w:left="285" w:right="355" w:firstLine="439"/>
        <w:spacing w:before="7" w:line="249" w:lineRule="auto"/>
        <w:rPr/>
      </w:pPr>
      <w:r>
        <w:rPr>
          <w:color w:val="231F20"/>
          <w:spacing w:val="5"/>
        </w:rPr>
        <w:t>四是将非银同业存款纳入利率自律管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理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。2024年11月，中国人民银行指导利率 </w:t>
      </w:r>
      <w:r>
        <w:rPr>
          <w:color w:val="231F20"/>
          <w:spacing w:val="5"/>
        </w:rPr>
        <w:t>自律机制发布《关于优化非银同业存款利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率自律管理的倡议》，要求非银同业活期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存款参考超额存款准备金利率或公开市场7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天期逆回购操作利率合理确定利率水平；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5"/>
        </w:rPr>
        <w:t>规范非银同业定期存款提前支取的定价行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为，防止定期存款“活期化”，提高银行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存款稳定性。</w:t>
      </w:r>
    </w:p>
    <w:p>
      <w:pPr>
        <w:pStyle w:val="BodyText"/>
        <w:ind w:left="285" w:right="354" w:firstLine="429"/>
        <w:spacing w:before="9" w:line="249" w:lineRule="auto"/>
        <w:jc w:val="both"/>
        <w:rPr/>
      </w:pPr>
      <w:r>
        <w:rPr>
          <w:color w:val="231F20"/>
          <w:spacing w:val="12"/>
        </w:rPr>
        <w:t>在贷款端 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2"/>
        </w:rPr>
        <w:t>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12"/>
        </w:rPr>
        <w:t>是完善商业性个人住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房贷款利率定价机制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5"/>
        </w:rPr>
        <w:t>。2024年9月，中国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人民银行发布《关于完善商业性个人住房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贷款利率定价机制的公告》，指导利率自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律机制发布《关于批量调整存量房贷利率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的倡议》，推动存量房贷利率批量调整至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新发放房贷利率附近，每年减少借款人房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贷利息支出约1500亿元，惠及超5000万户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家庭。同时，建立房贷利率常态化调整机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制，当存量房贷利率与新发放房贷利率偏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离达到一定幅度时，借款人可与银行自主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协商，动态调整存量房贷利率。</w:t>
      </w:r>
    </w:p>
    <w:p>
      <w:pPr>
        <w:pStyle w:val="BodyText"/>
        <w:ind w:left="293" w:right="354" w:firstLine="425"/>
        <w:spacing w:before="2" w:line="192" w:lineRule="auto"/>
        <w:rPr/>
      </w:pPr>
      <w:r>
        <w:rPr>
          <w:color w:val="231F20"/>
          <w:spacing w:val="5"/>
        </w:rPr>
        <w:t>二是有序推进明示企业贷款综合融资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成本试点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</w:rPr>
        <w:t>。2024年9月，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7"/>
        </w:rPr>
        <w:t>中国人民银行在山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2" w:firstLine="19"/>
        <w:spacing w:before="49" w:line="249" w:lineRule="auto"/>
        <w:jc w:val="both"/>
        <w:rPr/>
      </w:pPr>
      <w:r>
        <w:rPr>
          <w:color w:val="231F20"/>
          <w:spacing w:val="4"/>
        </w:rPr>
        <w:t>西、江西、山东、湖南、四川五省试点开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展明示企业贷款综合融资成本工作，向企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业明示除贷款利息以外的其他融资费用，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5"/>
        </w:rPr>
        <w:t>帮助企业理清成本明细账，充分保障企业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的知情权，降低企业综合融资成本，营造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良好营商环境。截至2024年末，共对5.5万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2"/>
        </w:rPr>
        <w:t>笔、3748亿元企业贷款进行了综合融资成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-5"/>
        </w:rPr>
        <w:t>本明示。</w:t>
      </w:r>
    </w:p>
    <w:p>
      <w:pPr>
        <w:pStyle w:val="BodyText"/>
        <w:ind w:right="283" w:firstLine="435"/>
        <w:spacing w:before="7" w:line="249" w:lineRule="auto"/>
        <w:rPr/>
      </w:pPr>
      <w:r>
        <w:rPr>
          <w:color w:val="231F20"/>
          <w:spacing w:val="10"/>
        </w:rPr>
        <w:t>三是提升银行</w:t>
      </w:r>
      <w:r>
        <w:rPr>
          <w:color w:val="231F20"/>
          <w:spacing w:val="40"/>
          <w:w w:val="101"/>
        </w:rPr>
        <w:t xml:space="preserve"> </w:t>
      </w:r>
      <w:r>
        <w:rPr>
          <w:color w:val="231F20"/>
          <w:spacing w:val="10"/>
        </w:rPr>
        <w:t>自主理性定价能力 。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中国人民银行指导利率自律机制规范金融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机构竞争秩序，合理确定贷款利率。督促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金融机构优化金融服务，根据不同类型客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户需求创新贷款产品，实行差异化竞争策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略，降低对价格竞争的依赖。引导金融机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构坚持风险定价原则，强化贷前审查和收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益测算，将“综合收益不能为负”作为每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笔贷款业务的定价底限。</w:t>
      </w:r>
    </w:p>
    <w:p>
      <w:pPr>
        <w:pStyle w:val="BodyText"/>
        <w:ind w:left="1" w:right="283" w:firstLine="439"/>
        <w:spacing w:before="2" w:line="238" w:lineRule="auto"/>
        <w:jc w:val="both"/>
        <w:rPr/>
      </w:pPr>
      <w:r>
        <w:rPr>
          <w:color w:val="231F20"/>
          <w:spacing w:val="14"/>
        </w:rPr>
        <w:t>下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4"/>
        </w:rPr>
        <w:t>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14"/>
        </w:rPr>
        <w:t>步，中国人民银行将持续深化</w:t>
      </w:r>
      <w:r>
        <w:rPr>
          <w:color w:val="231F20"/>
        </w:rPr>
        <w:t xml:space="preserve"> </w:t>
      </w:r>
      <w:r>
        <w:rPr>
          <w:color w:val="231F20"/>
          <w:spacing w:val="18"/>
        </w:rPr>
        <w:t>利率市场化改革，更好地发挥利率自律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机制作用，推动利率“形得成”和“调得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了”。“形得成”方面，引导金融机构切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实提升自主理性定价能力，增强资产端和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负债端利率调整的联动性。“调得了”方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面，引导金融机构通过市场化方式保持合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理的资产收益和负债成本，维护良性的竞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争秩序，把握好支持实体经济和可持续经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营的平衡。</w:t>
      </w:r>
    </w:p>
    <w:p>
      <w:pPr>
        <w:spacing w:line="238" w:lineRule="auto"/>
        <w:sectPr>
          <w:type w:val="continuous"/>
          <w:pgSz w:w="11906" w:h="16158"/>
          <w:pgMar w:top="1383" w:right="1417" w:bottom="400" w:left="1700" w:header="1060" w:footer="0" w:gutter="0"/>
          <w:cols w:equalWidth="0" w:num="2">
            <w:col w:w="4523" w:space="100"/>
            <w:col w:w="4166" w:space="0"/>
          </w:cols>
        </w:sectPr>
        <w:rPr/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pStyle w:val="BodyText"/>
        <w:ind w:left="8158"/>
        <w:spacing w:before="336" w:line="344" w:lineRule="exact"/>
        <w:rPr>
          <w:rFonts w:ascii="DejaVu Sans" w:hAnsi="DejaVu Sans" w:eastAsia="DejaVu Sans" w:cs="DejaVu Sans"/>
          <w:sz w:val="29"/>
          <w:szCs w:val="29"/>
        </w:rPr>
      </w:pPr>
      <w:r>
        <w:drawing>
          <wp:anchor distT="0" distB="0" distL="0" distR="0" simplePos="0" relativeHeight="251927552" behindDoc="0" locked="0" layoutInCell="0" allowOverlap="1">
            <wp:simplePos x="0" y="0"/>
            <wp:positionH relativeFrom="page">
              <wp:posOffset>4791060</wp:posOffset>
            </wp:positionH>
            <wp:positionV relativeFrom="page">
              <wp:posOffset>449999</wp:posOffset>
            </wp:positionV>
            <wp:extent cx="337500" cy="292349"/>
            <wp:effectExtent l="0" t="0" r="0" b="0"/>
            <wp:wrapNone/>
            <wp:docPr id="254" name="IM 254"/>
            <wp:cNvGraphicFramePr/>
            <a:graphic>
              <a:graphicData uri="http://schemas.openxmlformats.org/drawingml/2006/picture">
                <pic:pic>
                  <pic:nvPicPr>
                    <pic:cNvPr id="254" name="IM 2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00" cy="2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  <w:szCs w:val="29"/>
          <w:color w:val="174B8B"/>
          <w:spacing w:val="-6"/>
          <w:position w:val="3"/>
        </w:rPr>
        <w:t>中国金融稳定报告</w:t>
      </w:r>
      <w:r>
        <w:rPr>
          <w:sz w:val="29"/>
          <w:szCs w:val="29"/>
          <w:color w:val="174B8B"/>
          <w:spacing w:val="-6"/>
          <w:position w:val="3"/>
        </w:rPr>
        <w:t xml:space="preserve"> </w:t>
      </w:r>
      <w:r>
        <w:rPr>
          <w:rFonts w:ascii="DejaVu Sans" w:hAnsi="DejaVu Sans" w:eastAsia="DejaVu Sans" w:cs="DejaVu Sans"/>
          <w:sz w:val="29"/>
          <w:szCs w:val="29"/>
          <w:color w:val="174B8B"/>
          <w:spacing w:val="-6"/>
          <w:position w:val="-6"/>
        </w:rPr>
        <w:t>2025</w:t>
      </w:r>
    </w:p>
    <w:p>
      <w:pPr>
        <w:ind w:left="8164"/>
        <w:spacing w:line="221" w:lineRule="auto"/>
        <w:rPr>
          <w:rFonts w:ascii="DejaVu Sans" w:hAnsi="DejaVu Sans" w:eastAsia="DejaVu Sans" w:cs="DejaVu Sans"/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china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29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4"/>
        </w:rPr>
        <w:t>Financial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21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stability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Report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ind w:left="5242"/>
        <w:spacing w:before="346" w:line="176" w:lineRule="auto"/>
        <w:rPr>
          <w:sz w:val="72"/>
          <w:szCs w:val="72"/>
        </w:rPr>
      </w:pPr>
      <w:r>
        <w:rPr>
          <w:sz w:val="72"/>
          <w:szCs w:val="72"/>
          <w:color w:val="174B8B"/>
          <w:spacing w:val="-7"/>
        </w:rPr>
        <w:t>第三章</w:t>
      </w:r>
    </w:p>
    <w:p>
      <w:pPr>
        <w:pStyle w:val="BodyText"/>
        <w:ind w:left="3280"/>
        <w:spacing w:before="2" w:line="182" w:lineRule="auto"/>
        <w:rPr>
          <w:sz w:val="76"/>
          <w:szCs w:val="76"/>
        </w:rPr>
      </w:pPr>
      <w:r>
        <w:rPr>
          <w:sz w:val="76"/>
          <w:szCs w:val="76"/>
          <w:color w:val="174B8B"/>
          <w:spacing w:val="-3"/>
        </w:rPr>
        <w:t>非银行机构及其他</w:t>
      </w:r>
    </w:p>
    <w:p>
      <w:pPr>
        <w:spacing w:line="182" w:lineRule="auto"/>
        <w:sectPr>
          <w:headerReference w:type="default" r:id="rId129"/>
          <w:pgSz w:w="11906" w:h="16158"/>
          <w:pgMar w:top="400" w:right="0" w:bottom="400" w:left="0" w:header="0" w:footer="0" w:gutter="0"/>
        </w:sectPr>
        <w:rPr>
          <w:sz w:val="76"/>
          <w:szCs w:val="76"/>
        </w:rPr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spacing w:before="146"/>
        <w:rPr/>
      </w:pPr>
      <w:r/>
    </w:p>
    <w:p>
      <w:pPr>
        <w:sectPr>
          <w:headerReference w:type="default" r:id="rId130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482"/>
        <w:spacing w:before="63" w:line="171" w:lineRule="auto"/>
        <w:outlineLvl w:val="0"/>
        <w:rPr>
          <w:sz w:val="28"/>
          <w:szCs w:val="28"/>
        </w:rPr>
      </w:pPr>
      <w:bookmarkStart w:name="bookmark45" w:id="24"/>
      <w:bookmarkEnd w:id="24"/>
      <w:bookmarkStart w:name="bookmark7" w:id="25"/>
      <w:bookmarkEnd w:id="25"/>
      <w:r>
        <w:rPr>
          <w:sz w:val="28"/>
          <w:szCs w:val="28"/>
          <w:color w:val="174B8B"/>
          <w:spacing w:val="-7"/>
        </w:rPr>
        <w:t>一、保险业</w:t>
      </w:r>
    </w:p>
    <w:p>
      <w:pPr>
        <w:pStyle w:val="BodyText"/>
        <w:spacing w:line="287" w:lineRule="auto"/>
        <w:rPr/>
      </w:pPr>
      <w:r/>
    </w:p>
    <w:p>
      <w:pPr>
        <w:pStyle w:val="BodyText"/>
        <w:ind w:left="417"/>
        <w:spacing w:before="115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（一）运行状况</w:t>
      </w:r>
    </w:p>
    <w:p>
      <w:pPr>
        <w:pStyle w:val="BodyText"/>
        <w:ind w:left="4" w:right="358" w:firstLine="427"/>
        <w:spacing w:before="253" w:line="249" w:lineRule="auto"/>
        <w:jc w:val="both"/>
        <w:rPr/>
      </w:pPr>
      <w:r>
        <w:rPr>
          <w:color w:val="231F20"/>
          <w:spacing w:val="9"/>
        </w:rPr>
        <w:t>保险业总体运行平稳，资产规模增速上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1"/>
        </w:rPr>
        <w:t>升。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11"/>
        </w:rPr>
        <w:t>截至</w:t>
      </w:r>
      <w:r>
        <w:rPr>
          <w:rFonts w:ascii="Times New Roman" w:hAnsi="Times New Roman" w:eastAsia="Times New Roman" w:cs="Times New Roman"/>
          <w:color w:val="231F20"/>
          <w:spacing w:val="11"/>
        </w:rPr>
        <w:t>2024</w:t>
      </w:r>
      <w:r>
        <w:rPr>
          <w:color w:val="231F20"/>
          <w:spacing w:val="11"/>
        </w:rPr>
        <w:t>年末，全国共有保险机构</w:t>
      </w:r>
      <w:r>
        <w:rPr>
          <w:rFonts w:ascii="Times New Roman" w:hAnsi="Times New Roman" w:eastAsia="Times New Roman" w:cs="Times New Roman"/>
          <w:color w:val="231F20"/>
          <w:spacing w:val="11"/>
        </w:rPr>
        <w:t>247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14"/>
        </w:rPr>
        <w:t>家，较上年减少</w:t>
      </w:r>
      <w:r>
        <w:rPr>
          <w:rFonts w:ascii="Times New Roman" w:hAnsi="Times New Roman" w:eastAsia="Times New Roman" w:cs="Times New Roman"/>
          <w:color w:val="231F20"/>
          <w:spacing w:val="14"/>
        </w:rPr>
        <w:t>2</w:t>
      </w:r>
      <w:r>
        <w:rPr>
          <w:color w:val="231F20"/>
          <w:spacing w:val="14"/>
        </w:rPr>
        <w:t>家。其中，保险集团（控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3"/>
        </w:rPr>
        <w:t>股）公司</w:t>
      </w:r>
      <w:r>
        <w:rPr>
          <w:rFonts w:ascii="Times New Roman" w:hAnsi="Times New Roman" w:eastAsia="Times New Roman" w:cs="Times New Roman"/>
          <w:color w:val="231F20"/>
          <w:spacing w:val="13"/>
        </w:rPr>
        <w:t>13</w:t>
      </w:r>
      <w:r>
        <w:rPr>
          <w:color w:val="231F20"/>
          <w:spacing w:val="13"/>
        </w:rPr>
        <w:t>家，政策性保险公司</w:t>
      </w:r>
      <w:r>
        <w:rPr>
          <w:rFonts w:ascii="Times New Roman" w:hAnsi="Times New Roman" w:eastAsia="Times New Roman" w:cs="Times New Roman"/>
          <w:color w:val="231F20"/>
          <w:spacing w:val="13"/>
        </w:rPr>
        <w:t>1</w:t>
      </w:r>
      <w:r>
        <w:rPr>
          <w:color w:val="231F20"/>
          <w:spacing w:val="13"/>
        </w:rPr>
        <w:t>家，财产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8"/>
        </w:rPr>
        <w:t>险公司</w:t>
      </w:r>
      <w:r>
        <w:rPr>
          <w:rFonts w:ascii="Times New Roman" w:hAnsi="Times New Roman" w:eastAsia="Times New Roman" w:cs="Times New Roman"/>
          <w:color w:val="231F20"/>
          <w:spacing w:val="8"/>
        </w:rPr>
        <w:t>89</w:t>
      </w:r>
      <w:r>
        <w:rPr>
          <w:color w:val="231F20"/>
          <w:spacing w:val="8"/>
        </w:rPr>
        <w:t>家，人身险公司</w:t>
      </w:r>
      <w:r>
        <w:rPr>
          <w:rFonts w:ascii="Times New Roman" w:hAnsi="Times New Roman" w:eastAsia="Times New Roman" w:cs="Times New Roman"/>
          <w:color w:val="231F20"/>
          <w:spacing w:val="8"/>
        </w:rPr>
        <w:t>91</w:t>
      </w:r>
      <w:r>
        <w:rPr>
          <w:color w:val="231F20"/>
          <w:spacing w:val="8"/>
        </w:rPr>
        <w:t>家，再保险公司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3"/>
        </w:rPr>
        <w:t>15</w:t>
      </w:r>
      <w:r>
        <w:rPr>
          <w:color w:val="231F20"/>
          <w:spacing w:val="13"/>
        </w:rPr>
        <w:t>家（含</w:t>
      </w:r>
      <w:r>
        <w:rPr>
          <w:rFonts w:ascii="Times New Roman" w:hAnsi="Times New Roman" w:eastAsia="Times New Roman" w:cs="Times New Roman"/>
          <w:color w:val="231F20"/>
          <w:spacing w:val="13"/>
        </w:rPr>
        <w:t>8</w:t>
      </w:r>
      <w:r>
        <w:rPr>
          <w:color w:val="231F20"/>
          <w:spacing w:val="13"/>
        </w:rPr>
        <w:t>家外资分公司</w:t>
      </w:r>
      <w:r>
        <w:rPr>
          <w:color w:val="231F20"/>
          <w:spacing w:val="21"/>
        </w:rPr>
        <w:t>），</w:t>
      </w:r>
      <w:r>
        <w:rPr>
          <w:color w:val="231F20"/>
          <w:spacing w:val="13"/>
        </w:rPr>
        <w:t>农业保险互助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3"/>
        </w:rPr>
        <w:t>社</w:t>
      </w:r>
      <w:r>
        <w:rPr>
          <w:rFonts w:ascii="Times New Roman" w:hAnsi="Times New Roman" w:eastAsia="Times New Roman" w:cs="Times New Roman"/>
          <w:color w:val="231F20"/>
          <w:spacing w:val="13"/>
        </w:rPr>
        <w:t>3</w:t>
      </w:r>
      <w:r>
        <w:rPr>
          <w:color w:val="231F20"/>
          <w:spacing w:val="13"/>
        </w:rPr>
        <w:t>家，保险资产管理公司</w:t>
      </w:r>
      <w:r>
        <w:rPr>
          <w:rFonts w:ascii="Times New Roman" w:hAnsi="Times New Roman" w:eastAsia="Times New Roman" w:cs="Times New Roman"/>
          <w:color w:val="231F20"/>
          <w:spacing w:val="13"/>
        </w:rPr>
        <w:t>35</w:t>
      </w:r>
      <w:r>
        <w:rPr>
          <w:color w:val="231F20"/>
          <w:spacing w:val="13"/>
        </w:rPr>
        <w:t>家。保险业总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7"/>
        </w:rPr>
        <w:t>资产</w:t>
      </w:r>
      <w:r>
        <w:rPr>
          <w:rFonts w:ascii="Times New Roman" w:hAnsi="Times New Roman" w:eastAsia="Times New Roman" w:cs="Times New Roman"/>
          <w:color w:val="231F20"/>
          <w:spacing w:val="7"/>
        </w:rPr>
        <w:t>35.91</w:t>
      </w:r>
      <w:r>
        <w:rPr>
          <w:color w:val="231F20"/>
          <w:spacing w:val="7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7"/>
        </w:rPr>
        <w:t>13.93%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7"/>
          <w:position w:val="8"/>
        </w:rPr>
        <w:t>①</w:t>
      </w:r>
      <w:r>
        <w:rPr>
          <w:color w:val="231F20"/>
          <w:spacing w:val="7"/>
        </w:rPr>
        <w:t>（见图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7"/>
        </w:rPr>
        <w:t>3</w:t>
      </w:r>
      <w:r>
        <w:rPr>
          <w:color w:val="231F20"/>
          <w:spacing w:val="7"/>
        </w:rPr>
        <w:t>-</w:t>
      </w:r>
      <w:r>
        <w:rPr>
          <w:rFonts w:ascii="Times New Roman" w:hAnsi="Times New Roman" w:eastAsia="Times New Roman" w:cs="Times New Roman"/>
          <w:color w:val="231F20"/>
          <w:spacing w:val="7"/>
        </w:rPr>
        <w:t>1</w:t>
      </w:r>
      <w:r>
        <w:rPr>
          <w:color w:val="231F20"/>
          <w:spacing w:val="7"/>
        </w:rPr>
        <w:t>） 。其中，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7"/>
        </w:rPr>
        <w:t>人身险公司总资产</w:t>
      </w:r>
      <w:r>
        <w:rPr>
          <w:rFonts w:ascii="Times New Roman" w:hAnsi="Times New Roman" w:eastAsia="Times New Roman" w:cs="Times New Roman"/>
          <w:color w:val="231F20"/>
          <w:spacing w:val="7"/>
        </w:rPr>
        <w:t>31.55</w:t>
      </w:r>
      <w:r>
        <w:rPr>
          <w:color w:val="231F20"/>
          <w:spacing w:val="7"/>
        </w:rPr>
        <w:t>万亿</w:t>
      </w:r>
      <w:r>
        <w:rPr>
          <w:color w:val="231F20"/>
        </w:rPr>
        <w:t xml:space="preserve"> </w:t>
      </w:r>
      <w:r>
        <w:rPr>
          <w:color w:val="231F20"/>
        </w:rPr>
        <w:t>元，同比增长</w:t>
      </w:r>
      <w:r>
        <w:rPr>
          <w:rFonts w:ascii="Times New Roman" w:hAnsi="Times New Roman" w:eastAsia="Times New Roman" w:cs="Times New Roman"/>
          <w:color w:val="231F20"/>
        </w:rPr>
        <w:t>15.27%</w:t>
      </w:r>
      <w:r>
        <w:rPr>
          <w:color w:val="231F20"/>
        </w:rPr>
        <w:t>；财产险公司总</w:t>
      </w:r>
      <w:r>
        <w:rPr>
          <w:color w:val="231F20"/>
          <w:spacing w:val="-1"/>
        </w:rPr>
        <w:t>资产</w:t>
      </w:r>
      <w:r>
        <w:rPr>
          <w:rFonts w:ascii="Times New Roman" w:hAnsi="Times New Roman" w:eastAsia="Times New Roman" w:cs="Times New Roman"/>
          <w:color w:val="231F20"/>
          <w:spacing w:val="-1"/>
        </w:rPr>
        <w:t>2.90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1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1"/>
        </w:rPr>
        <w:t>4.30%</w:t>
      </w:r>
      <w:r>
        <w:rPr>
          <w:color w:val="231F20"/>
          <w:spacing w:val="1"/>
        </w:rPr>
        <w:t>；再保险公司总资产</w:t>
      </w:r>
      <w:r>
        <w:rPr>
          <w:color w:val="231F20"/>
          <w:spacing w:val="1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8279</w:t>
      </w:r>
      <w:r>
        <w:rPr>
          <w:color w:val="231F20"/>
          <w:spacing w:val="-1"/>
        </w:rPr>
        <w:t>亿元，同比增长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10.82%</w:t>
      </w:r>
      <w:r>
        <w:rPr>
          <w:color w:val="231F20"/>
          <w:spacing w:val="-1"/>
        </w:rPr>
        <w:t>。</w:t>
      </w:r>
    </w:p>
    <w:p>
      <w:pPr>
        <w:pStyle w:val="BodyText"/>
        <w:ind w:left="3" w:right="359" w:firstLine="427"/>
        <w:spacing w:before="2" w:line="249" w:lineRule="auto"/>
        <w:jc w:val="both"/>
        <w:rPr/>
      </w:pPr>
      <w:r>
        <w:rPr>
          <w:color w:val="231F20"/>
          <w:spacing w:val="3"/>
        </w:rPr>
        <w:t>保险密度和保险深度上升。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年，保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"/>
        </w:rPr>
        <w:t>险密度和保险深度分别为</w:t>
      </w:r>
      <w:r>
        <w:rPr>
          <w:rFonts w:ascii="Times New Roman" w:hAnsi="Times New Roman" w:eastAsia="Times New Roman" w:cs="Times New Roman"/>
          <w:color w:val="231F20"/>
          <w:spacing w:val="1"/>
        </w:rPr>
        <w:t>4045</w:t>
      </w:r>
      <w:r>
        <w:rPr>
          <w:color w:val="231F20"/>
          <w:spacing w:val="1"/>
        </w:rPr>
        <w:t>元和</w:t>
      </w:r>
      <w:r>
        <w:rPr>
          <w:rFonts w:ascii="Times New Roman" w:hAnsi="Times New Roman" w:eastAsia="Times New Roman" w:cs="Times New Roman"/>
          <w:color w:val="231F20"/>
          <w:spacing w:val="1"/>
        </w:rPr>
        <w:t>4.22%</w:t>
      </w:r>
      <w:r>
        <w:rPr>
          <w:color w:val="231F20"/>
          <w:spacing w:val="1"/>
        </w:rPr>
        <w:t>，较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上年分别增加</w:t>
      </w:r>
      <w:r>
        <w:rPr>
          <w:rFonts w:ascii="Times New Roman" w:hAnsi="Times New Roman" w:eastAsia="Times New Roman" w:cs="Times New Roman"/>
          <w:color w:val="231F20"/>
          <w:spacing w:val="-2"/>
        </w:rPr>
        <w:t>410</w:t>
      </w:r>
      <w:r>
        <w:rPr>
          <w:color w:val="231F20"/>
          <w:spacing w:val="-2"/>
        </w:rPr>
        <w:t>元和</w:t>
      </w:r>
      <w:r>
        <w:rPr>
          <w:rFonts w:ascii="Times New Roman" w:hAnsi="Times New Roman" w:eastAsia="Times New Roman" w:cs="Times New Roman"/>
          <w:color w:val="231F20"/>
          <w:spacing w:val="-2"/>
        </w:rPr>
        <w:t>0.15</w:t>
      </w:r>
      <w:r>
        <w:rPr>
          <w:color w:val="231F20"/>
          <w:spacing w:val="-2"/>
        </w:rPr>
        <w:t>个百分点。</w:t>
      </w:r>
    </w:p>
    <w:p>
      <w:pPr>
        <w:pStyle w:val="BodyText"/>
        <w:ind w:left="4" w:right="357" w:firstLine="425"/>
        <w:spacing w:before="11" w:line="253" w:lineRule="auto"/>
        <w:jc w:val="both"/>
        <w:rPr/>
      </w:pPr>
      <w:r>
        <w:pict>
          <v:shape id="_x0000_s114" style="position:absolute;margin-left:0.25pt;margin-top:179.004pt;mso-position-vertical-relative:text;mso-position-horizontal-relative:text;width:90.75pt;height:0.5pt;z-index:251952128;" filled="false" strokecolor="#231F20" strokeweight="0.50pt" coordsize="1815,10" coordorigin="0,0" path="m0,5l1814,5e">
            <v:stroke joinstyle="miter" miterlimit="10"/>
          </v:shape>
        </w:pict>
      </w:r>
      <w:r>
        <w:rPr>
          <w:color w:val="231F20"/>
          <w:spacing w:val="23"/>
        </w:rPr>
        <w:t>人身险公司保费同比增长，退保率下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降。</w:t>
      </w:r>
      <w:r>
        <w:rPr>
          <w:color w:val="231F20"/>
          <w:spacing w:val="-2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color w:val="231F20"/>
          <w:spacing w:val="9"/>
        </w:rPr>
        <w:t>年，人身险公司保费收入</w:t>
      </w:r>
      <w:r>
        <w:rPr>
          <w:rFonts w:ascii="Times New Roman" w:hAnsi="Times New Roman" w:eastAsia="Times New Roman" w:cs="Times New Roman"/>
          <w:color w:val="231F20"/>
          <w:spacing w:val="9"/>
        </w:rPr>
        <w:t>4.0</w:t>
      </w:r>
      <w:r>
        <w:rPr>
          <w:rFonts w:ascii="Times New Roman" w:hAnsi="Times New Roman" w:eastAsia="Times New Roman" w:cs="Times New Roman"/>
          <w:color w:val="231F20"/>
          <w:spacing w:val="8"/>
        </w:rPr>
        <w:t>1</w:t>
      </w:r>
      <w:r>
        <w:rPr>
          <w:color w:val="231F20"/>
          <w:spacing w:val="8"/>
        </w:rPr>
        <w:t>万亿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5.73%</w:t>
      </w:r>
      <w:r>
        <w:rPr>
          <w:color w:val="231F20"/>
          <w:spacing w:val="4"/>
        </w:rPr>
        <w:t>，增速较上年下降</w:t>
      </w:r>
      <w:r>
        <w:rPr>
          <w:rFonts w:ascii="Times New Roman" w:hAnsi="Times New Roman" w:eastAsia="Times New Roman" w:cs="Times New Roman"/>
          <w:color w:val="231F20"/>
          <w:spacing w:val="4"/>
        </w:rPr>
        <w:t>4.11</w:t>
      </w:r>
      <w:r>
        <w:rPr>
          <w:color w:val="231F20"/>
          <w:spacing w:val="4"/>
        </w:rPr>
        <w:t>个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9"/>
        </w:rPr>
        <w:t>百分点。其中，普通寿险、分红寿险、万能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保险、投资连结保险业务保费收入分别为</w:t>
      </w:r>
      <w:r>
        <w:rPr>
          <w:rFonts w:ascii="Times New Roman" w:hAnsi="Times New Roman" w:eastAsia="Times New Roman" w:cs="Times New Roman"/>
          <w:color w:val="231F20"/>
        </w:rPr>
        <w:t>2.42</w:t>
      </w:r>
      <w:r>
        <w:rPr>
          <w:rFonts w:ascii="Times New Roman" w:hAnsi="Times New Roman" w:eastAsia="Times New Roman" w:cs="Times New Roman"/>
          <w:color w:val="231F20"/>
          <w:spacing w:val="12"/>
        </w:rPr>
        <w:t xml:space="preserve"> </w:t>
      </w:r>
      <w:r>
        <w:rPr>
          <w:color w:val="231F20"/>
          <w:spacing w:val="8"/>
        </w:rPr>
        <w:t>万亿元、 </w:t>
      </w:r>
      <w:r>
        <w:rPr>
          <w:rFonts w:ascii="Times New Roman" w:hAnsi="Times New Roman" w:eastAsia="Times New Roman" w:cs="Times New Roman"/>
          <w:color w:val="231F20"/>
          <w:spacing w:val="8"/>
        </w:rPr>
        <w:t>7667.40</w:t>
      </w:r>
      <w:r>
        <w:rPr>
          <w:color w:val="231F20"/>
          <w:spacing w:val="8"/>
        </w:rPr>
        <w:t>亿元、</w:t>
      </w:r>
      <w:r>
        <w:rPr>
          <w:color w:val="231F20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88.72</w:t>
      </w:r>
      <w:r>
        <w:rPr>
          <w:color w:val="231F20"/>
          <w:spacing w:val="7"/>
        </w:rPr>
        <w:t>亿元和</w:t>
      </w:r>
      <w:r>
        <w:rPr>
          <w:rFonts w:ascii="Times New Roman" w:hAnsi="Times New Roman" w:eastAsia="Times New Roman" w:cs="Times New Roman"/>
          <w:color w:val="231F20"/>
          <w:spacing w:val="7"/>
        </w:rPr>
        <w:t>3.67</w:t>
      </w:r>
      <w:r>
        <w:rPr>
          <w:color w:val="231F20"/>
          <w:spacing w:val="7"/>
        </w:rPr>
        <w:t>亿</w:t>
      </w:r>
      <w:r>
        <w:rPr>
          <w:color w:val="231F20"/>
        </w:rPr>
        <w:t xml:space="preserve"> </w:t>
      </w:r>
      <w:r>
        <w:rPr>
          <w:color w:val="231F20"/>
        </w:rPr>
        <w:t>元，同比增速分别为</w:t>
      </w:r>
      <w:r>
        <w:rPr>
          <w:rFonts w:ascii="Times New Roman" w:hAnsi="Times New Roman" w:eastAsia="Times New Roman" w:cs="Times New Roman"/>
          <w:color w:val="231F20"/>
        </w:rPr>
        <w:t>7.87%</w:t>
      </w:r>
      <w:r>
        <w:rPr>
          <w:rFonts w:ascii="Times New Roman" w:hAnsi="Times New Roman" w:eastAsia="Times New Roman" w:cs="Times New Roman"/>
          <w:color w:val="231F20"/>
          <w:spacing w:val="-27"/>
        </w:rPr>
        <w:t xml:space="preserve"> </w:t>
      </w:r>
      <w:r>
        <w:rPr>
          <w:color w:val="231F20"/>
        </w:rPr>
        <w:t>、</w:t>
      </w:r>
      <w:r>
        <w:rPr>
          <w:rFonts w:ascii="Times New Roman" w:hAnsi="Times New Roman" w:eastAsia="Times New Roman" w:cs="Times New Roman"/>
          <w:color w:val="231F20"/>
        </w:rPr>
        <w:t>4.01%</w:t>
      </w:r>
      <w:r>
        <w:rPr>
          <w:rFonts w:ascii="Times New Roman" w:hAnsi="Times New Roman" w:eastAsia="Times New Roman" w:cs="Times New Roman"/>
          <w:color w:val="231F20"/>
          <w:spacing w:val="-27"/>
        </w:rPr>
        <w:t xml:space="preserve"> </w:t>
      </w:r>
      <w:r>
        <w:rPr>
          <w:color w:val="231F20"/>
        </w:rPr>
        <w:t>、-</w:t>
      </w:r>
      <w:r>
        <w:rPr>
          <w:rFonts w:ascii="Times New Roman" w:hAnsi="Times New Roman" w:eastAsia="Times New Roman" w:cs="Times New Roman"/>
          <w:color w:val="231F20"/>
        </w:rPr>
        <w:t>1</w:t>
      </w:r>
      <w:r>
        <w:rPr>
          <w:rFonts w:ascii="Times New Roman" w:hAnsi="Times New Roman" w:eastAsia="Times New Roman" w:cs="Times New Roman"/>
          <w:color w:val="231F20"/>
          <w:spacing w:val="-1"/>
        </w:rPr>
        <w:t>0.71%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2"/>
        </w:rPr>
        <w:t>和-</w:t>
      </w:r>
      <w:r>
        <w:rPr>
          <w:rFonts w:ascii="Times New Roman" w:hAnsi="Times New Roman" w:eastAsia="Times New Roman" w:cs="Times New Roman"/>
          <w:color w:val="231F20"/>
          <w:spacing w:val="2"/>
        </w:rPr>
        <w:t>0.53%</w:t>
      </w:r>
      <w:r>
        <w:rPr>
          <w:color w:val="231F20"/>
          <w:spacing w:val="2"/>
        </w:rPr>
        <w:t>。人身险公司全年退保率为</w:t>
      </w:r>
      <w:r>
        <w:rPr>
          <w:rFonts w:ascii="Times New Roman" w:hAnsi="Times New Roman" w:eastAsia="Times New Roman" w:cs="Times New Roman"/>
          <w:color w:val="231F20"/>
          <w:spacing w:val="2"/>
        </w:rPr>
        <w:t>1.75%</w:t>
      </w:r>
      <w:r>
        <w:rPr>
          <w:color w:val="231F20"/>
          <w:spacing w:val="2"/>
        </w:rPr>
        <w:t>，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"/>
        <w:spacing w:before="48" w:line="182" w:lineRule="auto"/>
        <w:rPr/>
      </w:pPr>
      <w:r>
        <w:rPr>
          <w:color w:val="231F20"/>
          <w:spacing w:val="-3"/>
        </w:rPr>
        <w:t>较上年下降</w:t>
      </w:r>
      <w:r>
        <w:rPr>
          <w:rFonts w:ascii="Times New Roman" w:hAnsi="Times New Roman" w:eastAsia="Times New Roman" w:cs="Times New Roman"/>
          <w:color w:val="231F20"/>
          <w:spacing w:val="-3"/>
        </w:rPr>
        <w:t>0.85</w:t>
      </w:r>
      <w:r>
        <w:rPr>
          <w:color w:val="231F20"/>
          <w:spacing w:val="-3"/>
        </w:rPr>
        <w:t>个百分点。</w:t>
      </w:r>
    </w:p>
    <w:p>
      <w:pPr>
        <w:pStyle w:val="BodyText"/>
        <w:ind w:firstLine="426"/>
        <w:spacing w:before="83" w:line="258" w:lineRule="auto"/>
        <w:jc w:val="both"/>
        <w:rPr/>
      </w:pPr>
      <w:r>
        <w:rPr>
          <w:color w:val="231F20"/>
          <w:spacing w:val="1"/>
        </w:rPr>
        <w:t>财产险公司保费收入增长，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非车险业务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1"/>
          <w:position w:val="8"/>
        </w:rPr>
        <w:t>②</w:t>
      </w:r>
      <w:r>
        <w:rPr>
          <w:rFonts w:ascii="DejaVu Sans" w:hAnsi="DejaVu Sans" w:eastAsia="DejaVu Sans" w:cs="DejaVu Sans"/>
          <w:sz w:val="12"/>
          <w:szCs w:val="12"/>
          <w:color w:val="231F20"/>
          <w:position w:val="8"/>
        </w:rPr>
        <w:t xml:space="preserve"> </w:t>
      </w:r>
      <w:r>
        <w:rPr>
          <w:color w:val="231F20"/>
          <w:spacing w:val="5"/>
        </w:rPr>
        <w:t>占比进一步提升。 </w:t>
      </w: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年，财产险公司保费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4"/>
        </w:rPr>
        <w:t>收入</w:t>
      </w:r>
      <w:r>
        <w:rPr>
          <w:rFonts w:ascii="Times New Roman" w:hAnsi="Times New Roman" w:eastAsia="Times New Roman" w:cs="Times New Roman"/>
          <w:color w:val="231F20"/>
          <w:spacing w:val="4"/>
        </w:rPr>
        <w:t>1.69</w:t>
      </w:r>
      <w:r>
        <w:rPr>
          <w:color w:val="231F20"/>
          <w:spacing w:val="4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5.55%</w:t>
      </w:r>
      <w:r>
        <w:rPr>
          <w:color w:val="231F20"/>
          <w:spacing w:val="4"/>
        </w:rPr>
        <w:t>，增</w:t>
      </w:r>
      <w:r>
        <w:rPr>
          <w:color w:val="231F20"/>
          <w:spacing w:val="3"/>
        </w:rPr>
        <w:t>速较上</w:t>
      </w:r>
      <w:r>
        <w:rPr>
          <w:color w:val="231F20"/>
        </w:rPr>
        <w:t xml:space="preserve"> </w:t>
      </w:r>
      <w:r>
        <w:rPr>
          <w:color w:val="231F20"/>
        </w:rPr>
        <w:t>年下降</w:t>
      </w:r>
      <w:r>
        <w:rPr>
          <w:rFonts w:ascii="Times New Roman" w:hAnsi="Times New Roman" w:eastAsia="Times New Roman" w:cs="Times New Roman"/>
          <w:color w:val="231F20"/>
        </w:rPr>
        <w:t>1.09</w:t>
      </w:r>
      <w:r>
        <w:rPr>
          <w:color w:val="231F20"/>
        </w:rPr>
        <w:t>个百分点。车险业务保费占财产险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总保费的比重为</w:t>
      </w:r>
      <w:r>
        <w:rPr>
          <w:rFonts w:ascii="Times New Roman" w:hAnsi="Times New Roman" w:eastAsia="Times New Roman" w:cs="Times New Roman"/>
          <w:color w:val="231F20"/>
          <w:spacing w:val="-1"/>
        </w:rPr>
        <w:t>54.04%</w:t>
      </w:r>
      <w:r>
        <w:rPr>
          <w:color w:val="231F20"/>
          <w:spacing w:val="-1"/>
        </w:rPr>
        <w:t>，较上年下降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0.77</w:t>
      </w:r>
      <w:r>
        <w:rPr>
          <w:color w:val="231F20"/>
          <w:spacing w:val="-1"/>
        </w:rPr>
        <w:t>个百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分点，非车险业务占比连续</w:t>
      </w:r>
      <w:r>
        <w:rPr>
          <w:rFonts w:ascii="Times New Roman" w:hAnsi="Times New Roman" w:eastAsia="Times New Roman" w:cs="Times New Roman"/>
          <w:color w:val="231F20"/>
          <w:spacing w:val="-2"/>
        </w:rPr>
        <w:t>8</w:t>
      </w:r>
      <w:r>
        <w:rPr>
          <w:color w:val="231F20"/>
          <w:spacing w:val="-2"/>
        </w:rPr>
        <w:t>年增长。</w:t>
      </w:r>
    </w:p>
    <w:p>
      <w:pPr>
        <w:pStyle w:val="BodyText"/>
        <w:ind w:left="714"/>
        <w:spacing w:before="225" w:line="133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231F20"/>
        </w:rPr>
        <w:drawing>
          <wp:inline distT="0" distB="0" distL="0" distR="0">
            <wp:extent cx="123659" cy="66395"/>
            <wp:effectExtent l="0" t="0" r="0" b="0"/>
            <wp:docPr id="256" name="IM 256"/>
            <wp:cNvGraphicFramePr/>
            <a:graphic>
              <a:graphicData uri="http://schemas.openxmlformats.org/drawingml/2006/picture">
                <pic:pic>
                  <pic:nvPicPr>
                    <pic:cNvPr id="256" name="IM 256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3659" cy="6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3"/>
          <w:w w:val="101"/>
        </w:rPr>
        <w:t xml:space="preserve"> </w:t>
      </w:r>
      <w:r>
        <w:rPr>
          <w:sz w:val="13"/>
          <w:szCs w:val="13"/>
          <w:color w:val="231F20"/>
          <w:spacing w:val="10"/>
        </w:rPr>
        <w:t>总资产</w:t>
      </w:r>
      <w:r>
        <w:rPr>
          <w:sz w:val="13"/>
          <w:szCs w:val="13"/>
          <w:color w:val="231F20"/>
          <w:spacing w:val="10"/>
        </w:rPr>
        <w:t xml:space="preserve">  </w:t>
      </w:r>
      <w:r>
        <w:rPr>
          <w:sz w:val="13"/>
          <w:szCs w:val="13"/>
          <w:color w:val="231F20"/>
          <w:spacing w:val="10"/>
        </w:rPr>
        <w:t>(左轴</w:t>
      </w:r>
      <w:r>
        <w:rPr>
          <w:sz w:val="13"/>
          <w:szCs w:val="13"/>
          <w:color w:val="231F20"/>
          <w:spacing w:val="15"/>
          <w:w w:val="102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0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</w:rPr>
        <w:t xml:space="preserve">       </w:t>
      </w:r>
      <w:r>
        <w:rPr>
          <w:rFonts w:ascii="DejaVu Sans" w:hAnsi="DejaVu Sans" w:eastAsia="DejaVu Sans" w:cs="DejaVu Sans"/>
          <w:sz w:val="13"/>
          <w:szCs w:val="13"/>
          <w:color w:val="782D36"/>
          <w:spacing w:val="10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782D36"/>
          <w:spacing w:val="-3"/>
        </w:rPr>
        <w:t xml:space="preserve"> </w:t>
      </w:r>
      <w:r>
        <w:rPr>
          <w:sz w:val="13"/>
          <w:szCs w:val="13"/>
          <w:color w:val="231F20"/>
          <w:spacing w:val="10"/>
        </w:rPr>
        <w:t>资产增速</w:t>
      </w:r>
      <w:r>
        <w:rPr>
          <w:sz w:val="13"/>
          <w:szCs w:val="13"/>
          <w:color w:val="231F20"/>
          <w:spacing w:val="10"/>
        </w:rPr>
        <w:t xml:space="preserve">  </w:t>
      </w:r>
      <w:r>
        <w:rPr>
          <w:sz w:val="13"/>
          <w:szCs w:val="13"/>
          <w:color w:val="231F20"/>
          <w:spacing w:val="10"/>
        </w:rPr>
        <w:t>(右轴</w:t>
      </w:r>
      <w:r>
        <w:rPr>
          <w:sz w:val="13"/>
          <w:szCs w:val="13"/>
          <w:color w:val="231F20"/>
          <w:spacing w:val="17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0"/>
        </w:rPr>
        <w:t>)</w:t>
      </w:r>
    </w:p>
    <w:p>
      <w:pPr>
        <w:ind w:firstLine="1"/>
        <w:spacing w:before="61" w:line="2291" w:lineRule="exact"/>
        <w:rPr/>
      </w:pPr>
      <w:r>
        <w:drawing>
          <wp:anchor distT="0" distB="0" distL="0" distR="0" simplePos="0" relativeHeight="251950080" behindDoc="1" locked="0" layoutInCell="1" allowOverlap="1">
            <wp:simplePos x="0" y="0"/>
            <wp:positionH relativeFrom="column">
              <wp:posOffset>250634</wp:posOffset>
            </wp:positionH>
            <wp:positionV relativeFrom="paragraph">
              <wp:posOffset>1010551</wp:posOffset>
            </wp:positionV>
            <wp:extent cx="93205" cy="367309"/>
            <wp:effectExtent l="0" t="0" r="0" b="0"/>
            <wp:wrapNone/>
            <wp:docPr id="258" name="IM 258"/>
            <wp:cNvGraphicFramePr/>
            <a:graphic>
              <a:graphicData uri="http://schemas.openxmlformats.org/drawingml/2006/picture">
                <pic:pic>
                  <pic:nvPicPr>
                    <pic:cNvPr id="258" name="IM 258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05" cy="36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2912" behindDoc="1" locked="0" layoutInCell="1" allowOverlap="1">
            <wp:simplePos x="0" y="0"/>
            <wp:positionH relativeFrom="column">
              <wp:posOffset>483667</wp:posOffset>
            </wp:positionH>
            <wp:positionV relativeFrom="paragraph">
              <wp:posOffset>928598</wp:posOffset>
            </wp:positionV>
            <wp:extent cx="93205" cy="449262"/>
            <wp:effectExtent l="0" t="0" r="0" b="0"/>
            <wp:wrapNone/>
            <wp:docPr id="260" name="IM 260"/>
            <wp:cNvGraphicFramePr/>
            <a:graphic>
              <a:graphicData uri="http://schemas.openxmlformats.org/drawingml/2006/picture">
                <pic:pic>
                  <pic:nvPicPr>
                    <pic:cNvPr id="260" name="IM 260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05" cy="44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51104" behindDoc="1" locked="0" layoutInCell="1" allowOverlap="1">
            <wp:simplePos x="0" y="0"/>
            <wp:positionH relativeFrom="column">
              <wp:posOffset>716686</wp:posOffset>
            </wp:positionH>
            <wp:positionV relativeFrom="paragraph">
              <wp:posOffset>880109</wp:posOffset>
            </wp:positionV>
            <wp:extent cx="93205" cy="497751"/>
            <wp:effectExtent l="0" t="0" r="0" b="0"/>
            <wp:wrapNone/>
            <wp:docPr id="262" name="IM 262"/>
            <wp:cNvGraphicFramePr/>
            <a:graphic>
              <a:graphicData uri="http://schemas.openxmlformats.org/drawingml/2006/picture">
                <pic:pic>
                  <pic:nvPicPr>
                    <pic:cNvPr id="262" name="IM 262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05" cy="497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4960" behindDoc="1" locked="0" layoutInCell="1" allowOverlap="1">
            <wp:simplePos x="0" y="0"/>
            <wp:positionH relativeFrom="column">
              <wp:posOffset>949706</wp:posOffset>
            </wp:positionH>
            <wp:positionV relativeFrom="paragraph">
              <wp:posOffset>833094</wp:posOffset>
            </wp:positionV>
            <wp:extent cx="93217" cy="544766"/>
            <wp:effectExtent l="0" t="0" r="0" b="0"/>
            <wp:wrapNone/>
            <wp:docPr id="264" name="IM 264"/>
            <wp:cNvGraphicFramePr/>
            <a:graphic>
              <a:graphicData uri="http://schemas.openxmlformats.org/drawingml/2006/picture">
                <pic:pic>
                  <pic:nvPicPr>
                    <pic:cNvPr id="264" name="IM 264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17" cy="54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3936" behindDoc="1" locked="0" layoutInCell="1" allowOverlap="1">
            <wp:simplePos x="0" y="0"/>
            <wp:positionH relativeFrom="column">
              <wp:posOffset>1182738</wp:posOffset>
            </wp:positionH>
            <wp:positionV relativeFrom="paragraph">
              <wp:posOffset>766711</wp:posOffset>
            </wp:positionV>
            <wp:extent cx="93217" cy="611149"/>
            <wp:effectExtent l="0" t="0" r="0" b="0"/>
            <wp:wrapNone/>
            <wp:docPr id="266" name="IM 266"/>
            <wp:cNvGraphicFramePr/>
            <a:graphic>
              <a:graphicData uri="http://schemas.openxmlformats.org/drawingml/2006/picture">
                <pic:pic>
                  <pic:nvPicPr>
                    <pic:cNvPr id="266" name="IM 26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17" cy="611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7008" behindDoc="1" locked="0" layoutInCell="1" allowOverlap="1">
            <wp:simplePos x="0" y="0"/>
            <wp:positionH relativeFrom="column">
              <wp:posOffset>1415757</wp:posOffset>
            </wp:positionH>
            <wp:positionV relativeFrom="paragraph">
              <wp:posOffset>685469</wp:posOffset>
            </wp:positionV>
            <wp:extent cx="93217" cy="692391"/>
            <wp:effectExtent l="0" t="0" r="0" b="0"/>
            <wp:wrapNone/>
            <wp:docPr id="268" name="IM 268"/>
            <wp:cNvGraphicFramePr/>
            <a:graphic>
              <a:graphicData uri="http://schemas.openxmlformats.org/drawingml/2006/picture">
                <pic:pic>
                  <pic:nvPicPr>
                    <pic:cNvPr id="268" name="IM 268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17" cy="69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5984" behindDoc="1" locked="0" layoutInCell="1" allowOverlap="1">
            <wp:simplePos x="0" y="0"/>
            <wp:positionH relativeFrom="column">
              <wp:posOffset>1648764</wp:posOffset>
            </wp:positionH>
            <wp:positionV relativeFrom="paragraph">
              <wp:posOffset>638250</wp:posOffset>
            </wp:positionV>
            <wp:extent cx="93217" cy="739609"/>
            <wp:effectExtent l="0" t="0" r="0" b="0"/>
            <wp:wrapNone/>
            <wp:docPr id="270" name="IM 270"/>
            <wp:cNvGraphicFramePr/>
            <a:graphic>
              <a:graphicData uri="http://schemas.openxmlformats.org/drawingml/2006/picture">
                <pic:pic>
                  <pic:nvPicPr>
                    <pic:cNvPr id="270" name="IM 27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17" cy="739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8032" behindDoc="1" locked="0" layoutInCell="1" allowOverlap="1">
            <wp:simplePos x="0" y="0"/>
            <wp:positionH relativeFrom="column">
              <wp:posOffset>1881797</wp:posOffset>
            </wp:positionH>
            <wp:positionV relativeFrom="paragraph">
              <wp:posOffset>571093</wp:posOffset>
            </wp:positionV>
            <wp:extent cx="93217" cy="806767"/>
            <wp:effectExtent l="0" t="0" r="0" b="0"/>
            <wp:wrapNone/>
            <wp:docPr id="272" name="IM 272"/>
            <wp:cNvGraphicFramePr/>
            <a:graphic>
              <a:graphicData uri="http://schemas.openxmlformats.org/drawingml/2006/picture">
                <pic:pic>
                  <pic:nvPicPr>
                    <pic:cNvPr id="272" name="IM 272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17" cy="806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9056" behindDoc="1" locked="0" layoutInCell="1" allowOverlap="1">
            <wp:simplePos x="0" y="0"/>
            <wp:positionH relativeFrom="column">
              <wp:posOffset>2114829</wp:posOffset>
            </wp:positionH>
            <wp:positionV relativeFrom="paragraph">
              <wp:posOffset>487578</wp:posOffset>
            </wp:positionV>
            <wp:extent cx="93217" cy="890282"/>
            <wp:effectExtent l="0" t="0" r="0" b="0"/>
            <wp:wrapNone/>
            <wp:docPr id="274" name="IM 274"/>
            <wp:cNvGraphicFramePr/>
            <a:graphic>
              <a:graphicData uri="http://schemas.openxmlformats.org/drawingml/2006/picture">
                <pic:pic>
                  <pic:nvPicPr>
                    <pic:cNvPr id="274" name="IM 27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17" cy="89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1888" behindDoc="1" locked="0" layoutInCell="1" allowOverlap="1">
            <wp:simplePos x="0" y="0"/>
            <wp:positionH relativeFrom="column">
              <wp:posOffset>2347849</wp:posOffset>
            </wp:positionH>
            <wp:positionV relativeFrom="paragraph">
              <wp:posOffset>310794</wp:posOffset>
            </wp:positionV>
            <wp:extent cx="93205" cy="1067066"/>
            <wp:effectExtent l="0" t="0" r="0" b="0"/>
            <wp:wrapNone/>
            <wp:docPr id="276" name="IM 276"/>
            <wp:cNvGraphicFramePr/>
            <a:graphic>
              <a:graphicData uri="http://schemas.openxmlformats.org/drawingml/2006/picture">
                <pic:pic>
                  <pic:nvPicPr>
                    <pic:cNvPr id="276" name="IM 27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3205" cy="1067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5"/>
        </w:rPr>
        <w:drawing>
          <wp:inline distT="0" distB="0" distL="0" distR="0">
            <wp:extent cx="2636682" cy="1454835"/>
            <wp:effectExtent l="0" t="0" r="0" b="0"/>
            <wp:docPr id="278" name="IM 278"/>
            <wp:cNvGraphicFramePr/>
            <a:graphic>
              <a:graphicData uri="http://schemas.openxmlformats.org/drawingml/2006/picture">
                <pic:pic>
                  <pic:nvPicPr>
                    <pic:cNvPr id="278" name="IM 27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6682" cy="14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74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图3-1    2015—2024年保险业总资产及增速</w:t>
      </w:r>
    </w:p>
    <w:p>
      <w:pPr>
        <w:pStyle w:val="BodyText"/>
        <w:ind w:left="899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（数据来源：金融监管总局）</w:t>
      </w:r>
    </w:p>
    <w:p>
      <w:pPr>
        <w:pStyle w:val="BodyText"/>
        <w:ind w:firstLine="430"/>
        <w:spacing w:before="307" w:line="254" w:lineRule="auto"/>
        <w:jc w:val="both"/>
        <w:rPr/>
      </w:pPr>
      <w:r>
        <w:rPr>
          <w:color w:val="231F20"/>
          <w:spacing w:val="3"/>
        </w:rPr>
        <w:t>市场集中度总体平稳。</w:t>
      </w:r>
      <w:r>
        <w:rPr>
          <w:color w:val="231F20"/>
          <w:spacing w:val="5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年，前五大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>财产险公司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11"/>
          <w:position w:val="8"/>
        </w:rPr>
        <w:t>③</w:t>
      </w:r>
      <w:r>
        <w:rPr>
          <w:color w:val="231F20"/>
          <w:spacing w:val="11"/>
        </w:rPr>
        <w:t>保费市场份额为</w:t>
      </w:r>
      <w:r>
        <w:rPr>
          <w:rFonts w:ascii="Times New Roman" w:hAnsi="Times New Roman" w:eastAsia="Times New Roman" w:cs="Times New Roman"/>
          <w:color w:val="231F20"/>
          <w:spacing w:val="11"/>
        </w:rPr>
        <w:t>73.35%</w:t>
      </w:r>
      <w:r>
        <w:rPr>
          <w:color w:val="231F20"/>
          <w:spacing w:val="11"/>
        </w:rPr>
        <w:t>，较上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年下降</w:t>
      </w:r>
      <w:r>
        <w:rPr>
          <w:rFonts w:ascii="Times New Roman" w:hAnsi="Times New Roman" w:eastAsia="Times New Roman" w:cs="Times New Roman"/>
          <w:color w:val="231F20"/>
          <w:spacing w:val="5"/>
        </w:rPr>
        <w:t>0.17</w:t>
      </w:r>
      <w:r>
        <w:rPr>
          <w:color w:val="231F20"/>
          <w:spacing w:val="5"/>
        </w:rPr>
        <w:t>个百分点；前五大人身险公司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5"/>
          <w:position w:val="8"/>
        </w:rPr>
        <w:t>④</w:t>
      </w:r>
      <w:r>
        <w:rPr>
          <w:color w:val="231F20"/>
          <w:spacing w:val="5"/>
        </w:rPr>
        <w:t>保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8"/>
        </w:rPr>
        <w:t>费市场份额为</w:t>
      </w:r>
      <w:r>
        <w:rPr>
          <w:rFonts w:ascii="Times New Roman" w:hAnsi="Times New Roman" w:eastAsia="Times New Roman" w:cs="Times New Roman"/>
          <w:color w:val="231F20"/>
          <w:spacing w:val="8"/>
        </w:rPr>
        <w:t>45.29%</w:t>
      </w:r>
      <w:r>
        <w:rPr>
          <w:color w:val="231F20"/>
          <w:spacing w:val="8"/>
        </w:rPr>
        <w:t>，较上年上升</w:t>
      </w:r>
      <w:r>
        <w:rPr>
          <w:rFonts w:ascii="Times New Roman" w:hAnsi="Times New Roman" w:eastAsia="Times New Roman" w:cs="Times New Roman"/>
          <w:color w:val="231F20"/>
          <w:spacing w:val="8"/>
        </w:rPr>
        <w:t>0.15</w:t>
      </w:r>
      <w:r>
        <w:rPr>
          <w:color w:val="231F20"/>
          <w:spacing w:val="8"/>
        </w:rPr>
        <w:t>个百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-8"/>
        </w:rPr>
        <w:t>分点。</w:t>
      </w:r>
    </w:p>
    <w:p>
      <w:pPr>
        <w:pStyle w:val="BodyText"/>
        <w:ind w:left="412"/>
        <w:spacing w:before="130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（二）稳健性评估</w:t>
      </w:r>
    </w:p>
    <w:p>
      <w:pPr>
        <w:pStyle w:val="BodyText"/>
        <w:ind w:left="2" w:firstLine="420"/>
        <w:spacing w:before="242" w:line="250" w:lineRule="auto"/>
        <w:jc w:val="both"/>
        <w:rPr/>
      </w:pPr>
      <w:r>
        <w:rPr>
          <w:color w:val="231F20"/>
          <w:spacing w:val="4"/>
        </w:rPr>
        <w:t>偿付能力总体充足。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4"/>
        </w:rPr>
        <w:t>截至</w:t>
      </w:r>
      <w:r>
        <w:rPr>
          <w:rFonts w:ascii="Times New Roman" w:hAnsi="Times New Roman" w:eastAsia="Times New Roman" w:cs="Times New Roman"/>
          <w:color w:val="231F20"/>
          <w:spacing w:val="4"/>
        </w:rPr>
        <w:t>2024</w:t>
      </w:r>
      <w:r>
        <w:rPr>
          <w:color w:val="231F20"/>
          <w:spacing w:val="4"/>
        </w:rPr>
        <w:t>年末，保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险业综合偿付能力充足率和核心偿付能力充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0"/>
        </w:rPr>
        <w:t>足率分别为</w:t>
      </w:r>
      <w:r>
        <w:rPr>
          <w:rFonts w:ascii="Times New Roman" w:hAnsi="Times New Roman" w:eastAsia="Times New Roman" w:cs="Times New Roman"/>
          <w:color w:val="231F20"/>
          <w:spacing w:val="10"/>
        </w:rPr>
        <w:t>199.4%</w:t>
      </w:r>
      <w:r>
        <w:rPr>
          <w:color w:val="231F20"/>
          <w:spacing w:val="10"/>
        </w:rPr>
        <w:t>和</w:t>
      </w:r>
      <w:r>
        <w:rPr>
          <w:rFonts w:ascii="Times New Roman" w:hAnsi="Times New Roman" w:eastAsia="Times New Roman" w:cs="Times New Roman"/>
          <w:color w:val="231F20"/>
          <w:spacing w:val="10"/>
        </w:rPr>
        <w:t>139.1%</w:t>
      </w:r>
      <w:r>
        <w:rPr>
          <w:color w:val="231F20"/>
          <w:spacing w:val="10"/>
        </w:rPr>
        <w:t>，高于</w:t>
      </w:r>
      <w:r>
        <w:rPr>
          <w:rFonts w:ascii="Times New Roman" w:hAnsi="Times New Roman" w:eastAsia="Times New Roman" w:cs="Times New Roman"/>
          <w:color w:val="231F20"/>
          <w:spacing w:val="10"/>
        </w:rPr>
        <w:t>100%</w:t>
      </w:r>
      <w:r>
        <w:rPr>
          <w:color w:val="231F20"/>
          <w:spacing w:val="10"/>
        </w:rPr>
        <w:t>和</w:t>
      </w:r>
      <w:r>
        <w:rPr>
          <w:color w:val="231F20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50%</w:t>
      </w:r>
      <w:r>
        <w:rPr>
          <w:color w:val="231F20"/>
          <w:spacing w:val="-1"/>
        </w:rPr>
        <w:t>的监管标准。其中，人身险公司、财产险</w:t>
      </w:r>
    </w:p>
    <w:p>
      <w:pPr>
        <w:spacing w:line="250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7" w:space="100"/>
            <w:col w:w="4162" w:space="0"/>
          </w:cols>
        </w:sectPr>
        <w:rPr/>
      </w:pPr>
    </w:p>
    <w:p>
      <w:pPr>
        <w:pStyle w:val="BodyText"/>
        <w:ind w:left="342"/>
        <w:spacing w:before="280" w:line="176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-2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43"/>
        </w:rPr>
        <w:t xml:space="preserve"> </w:t>
      </w:r>
      <w:r>
        <w:rPr>
          <w:sz w:val="16"/>
          <w:szCs w:val="16"/>
          <w:color w:val="231F20"/>
          <w:spacing w:val="-2"/>
        </w:rPr>
        <w:t>2024年保险业同比数据按可比口径计算，下同。</w:t>
      </w:r>
    </w:p>
    <w:p>
      <w:pPr>
        <w:pStyle w:val="BodyText"/>
        <w:ind w:left="342"/>
        <w:spacing w:before="14" w:line="179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</w:rPr>
        <w:t>②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3"/>
          <w:w w:val="101"/>
        </w:rPr>
        <w:t xml:space="preserve"> </w:t>
      </w:r>
      <w:r>
        <w:rPr>
          <w:sz w:val="16"/>
          <w:szCs w:val="16"/>
          <w:color w:val="231F20"/>
        </w:rPr>
        <w:t>非车险业务包括企业财产险、家庭财产险、工程险、责任险、保证险、农业险、健康险、意外</w:t>
      </w:r>
      <w:r>
        <w:rPr>
          <w:sz w:val="16"/>
          <w:szCs w:val="16"/>
          <w:color w:val="231F20"/>
          <w:spacing w:val="-1"/>
        </w:rPr>
        <w:t>险等。</w:t>
      </w:r>
    </w:p>
    <w:p>
      <w:pPr>
        <w:pStyle w:val="BodyText"/>
        <w:ind w:left="342"/>
        <w:spacing w:before="12" w:line="178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</w:rPr>
        <w:t>③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2"/>
          <w:w w:val="101"/>
        </w:rPr>
        <w:t xml:space="preserve"> </w:t>
      </w:r>
      <w:r>
        <w:rPr>
          <w:sz w:val="16"/>
          <w:szCs w:val="16"/>
          <w:color w:val="231F20"/>
        </w:rPr>
        <w:t>前五大财产险公司包括人保财险、平安产险、太保产险、中国人寿财险、中华财</w:t>
      </w:r>
      <w:r>
        <w:rPr>
          <w:sz w:val="16"/>
          <w:szCs w:val="16"/>
          <w:color w:val="231F20"/>
          <w:spacing w:val="-1"/>
        </w:rPr>
        <w:t>险。</w:t>
      </w:r>
    </w:p>
    <w:p>
      <w:pPr>
        <w:pStyle w:val="BodyText"/>
        <w:ind w:left="342"/>
        <w:spacing w:before="10" w:line="156" w:lineRule="exact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position w:val="-1"/>
        </w:rPr>
        <w:t>④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1"/>
          <w:w w:val="101"/>
          <w:position w:val="-1"/>
        </w:rPr>
        <w:t xml:space="preserve"> </w:t>
      </w:r>
      <w:r>
        <w:rPr>
          <w:sz w:val="16"/>
          <w:szCs w:val="16"/>
          <w:color w:val="231F20"/>
          <w:position w:val="-1"/>
        </w:rPr>
        <w:t>前五大人身险公司包括中国人寿、平安寿险、太保寿险、泰康人寿、太平人寿。</w:t>
      </w:r>
    </w:p>
    <w:p>
      <w:pPr>
        <w:spacing w:line="156" w:lineRule="exact"/>
        <w:sectPr>
          <w:type w:val="continuous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>
          <w:sz w:val="16"/>
          <w:szCs w:val="16"/>
        </w:rPr>
      </w:pPr>
    </w:p>
    <w:p>
      <w:pPr>
        <w:spacing w:before="172"/>
        <w:rPr/>
      </w:pPr>
      <w:r/>
    </w:p>
    <w:p>
      <w:pPr>
        <w:sectPr>
          <w:headerReference w:type="default" r:id="rId143"/>
          <w:pgSz w:w="11906" w:h="16158"/>
          <w:pgMar w:top="1367" w:right="1689" w:bottom="400" w:left="1417" w:header="1044" w:footer="0" w:gutter="0"/>
          <w:cols w:equalWidth="0" w:num="1">
            <w:col w:w="8800" w:space="0"/>
          </w:cols>
        </w:sectPr>
        <w:rPr/>
      </w:pPr>
    </w:p>
    <w:p>
      <w:pPr>
        <w:pStyle w:val="BodyText"/>
        <w:ind w:left="4" w:right="341" w:firstLine="5"/>
        <w:spacing w:before="45" w:line="249" w:lineRule="auto"/>
        <w:jc w:val="both"/>
        <w:rPr/>
      </w:pPr>
      <w:r>
        <w:rPr>
          <w:color w:val="231F20"/>
          <w:spacing w:val="8"/>
        </w:rPr>
        <w:t>公司和再保险公司的平均综合偿付能力充足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3"/>
        </w:rPr>
        <w:t>率分别为</w:t>
      </w:r>
      <w:r>
        <w:rPr>
          <w:rFonts w:ascii="Times New Roman" w:hAnsi="Times New Roman" w:eastAsia="Times New Roman" w:cs="Times New Roman"/>
          <w:color w:val="231F20"/>
          <w:spacing w:val="3"/>
        </w:rPr>
        <w:t>190.5%</w:t>
      </w:r>
      <w:r>
        <w:rPr>
          <w:rFonts w:ascii="Times New Roman" w:hAnsi="Times New Roman" w:eastAsia="Times New Roman" w:cs="Times New Roman"/>
          <w:color w:val="231F20"/>
          <w:spacing w:val="-23"/>
        </w:rPr>
        <w:t xml:space="preserve"> </w:t>
      </w:r>
      <w:r>
        <w:rPr>
          <w:color w:val="231F20"/>
          <w:spacing w:val="3"/>
        </w:rPr>
        <w:t>、</w:t>
      </w:r>
      <w:r>
        <w:rPr>
          <w:rFonts w:ascii="Times New Roman" w:hAnsi="Times New Roman" w:eastAsia="Times New Roman" w:cs="Times New Roman"/>
          <w:color w:val="231F20"/>
          <w:spacing w:val="3"/>
        </w:rPr>
        <w:t>238.5%</w:t>
      </w:r>
      <w:r>
        <w:rPr>
          <w:color w:val="231F20"/>
          <w:spacing w:val="3"/>
        </w:rPr>
        <w:t>和</w:t>
      </w:r>
      <w:r>
        <w:rPr>
          <w:rFonts w:ascii="Times New Roman" w:hAnsi="Times New Roman" w:eastAsia="Times New Roman" w:cs="Times New Roman"/>
          <w:color w:val="231F20"/>
          <w:spacing w:val="3"/>
        </w:rPr>
        <w:t>254.2%</w:t>
      </w:r>
      <w:r>
        <w:rPr>
          <w:color w:val="231F20"/>
          <w:spacing w:val="3"/>
        </w:rPr>
        <w:t>；平均核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心偿付能力充足率分别为</w:t>
      </w:r>
      <w:r>
        <w:rPr>
          <w:rFonts w:ascii="Times New Roman" w:hAnsi="Times New Roman" w:eastAsia="Times New Roman" w:cs="Times New Roman"/>
          <w:color w:val="231F20"/>
          <w:spacing w:val="4"/>
        </w:rPr>
        <w:t>123.8%</w:t>
      </w:r>
      <w:r>
        <w:rPr>
          <w:rFonts w:ascii="Times New Roman" w:hAnsi="Times New Roman" w:eastAsia="Times New Roman" w:cs="Times New Roman"/>
          <w:color w:val="231F20"/>
          <w:spacing w:val="-17"/>
        </w:rPr>
        <w:t xml:space="preserve"> </w:t>
      </w:r>
      <w:r>
        <w:rPr>
          <w:color w:val="231F20"/>
          <w:spacing w:val="4"/>
        </w:rPr>
        <w:t>、</w:t>
      </w:r>
      <w:r>
        <w:rPr>
          <w:rFonts w:ascii="Times New Roman" w:hAnsi="Times New Roman" w:eastAsia="Times New Roman" w:cs="Times New Roman"/>
          <w:color w:val="231F20"/>
          <w:spacing w:val="4"/>
        </w:rPr>
        <w:t>209.2%</w:t>
      </w:r>
      <w:r>
        <w:rPr>
          <w:color w:val="231F20"/>
          <w:spacing w:val="4"/>
        </w:rPr>
        <w:t>和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221.2%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  <w:spacing w:val="3"/>
        </w:rPr>
        <w:t>。从风险综合评级看，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年第四季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度低风险的</w:t>
      </w:r>
      <w:r>
        <w:rPr>
          <w:rFonts w:ascii="Times New Roman" w:hAnsi="Times New Roman" w:eastAsia="Times New Roman" w:cs="Times New Roman"/>
          <w:color w:val="231F20"/>
          <w:spacing w:val="8"/>
        </w:rPr>
        <w:t>A</w:t>
      </w:r>
      <w:r>
        <w:rPr>
          <w:color w:val="231F20"/>
          <w:spacing w:val="8"/>
        </w:rPr>
        <w:t>类和</w:t>
      </w:r>
      <w:r>
        <w:rPr>
          <w:rFonts w:ascii="Times New Roman" w:hAnsi="Times New Roman" w:eastAsia="Times New Roman" w:cs="Times New Roman"/>
          <w:color w:val="231F20"/>
          <w:spacing w:val="8"/>
        </w:rPr>
        <w:t>B</w:t>
      </w:r>
      <w:r>
        <w:rPr>
          <w:color w:val="231F20"/>
          <w:spacing w:val="8"/>
        </w:rPr>
        <w:t>类公司分别为</w:t>
      </w:r>
      <w:r>
        <w:rPr>
          <w:rFonts w:ascii="Times New Roman" w:hAnsi="Times New Roman" w:eastAsia="Times New Roman" w:cs="Times New Roman"/>
          <w:color w:val="231F20"/>
          <w:spacing w:val="8"/>
        </w:rPr>
        <w:t>68</w:t>
      </w:r>
      <w:r>
        <w:rPr>
          <w:color w:val="231F20"/>
          <w:spacing w:val="8"/>
        </w:rPr>
        <w:t>家和</w:t>
      </w:r>
      <w:r>
        <w:rPr>
          <w:rFonts w:ascii="Times New Roman" w:hAnsi="Times New Roman" w:eastAsia="Times New Roman" w:cs="Times New Roman"/>
          <w:color w:val="231F20"/>
          <w:spacing w:val="8"/>
        </w:rPr>
        <w:t>102</w:t>
      </w:r>
      <w:r>
        <w:rPr>
          <w:rFonts w:ascii="Times New Roman" w:hAnsi="Times New Roman" w:eastAsia="Times New Roman" w:cs="Times New Roman"/>
          <w:color w:val="231F20"/>
          <w:spacing w:val="17"/>
          <w:w w:val="101"/>
        </w:rPr>
        <w:t xml:space="preserve"> </w:t>
      </w:r>
      <w:r>
        <w:rPr>
          <w:color w:val="231F20"/>
          <w:spacing w:val="9"/>
        </w:rPr>
        <w:t>家；偿付能力充足率不达标或偿付能力充足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率虽然达标但风险较高的</w:t>
      </w:r>
      <w:r>
        <w:rPr>
          <w:rFonts w:ascii="Times New Roman" w:hAnsi="Times New Roman" w:eastAsia="Times New Roman" w:cs="Times New Roman"/>
          <w:color w:val="231F20"/>
          <w:spacing w:val="4"/>
        </w:rPr>
        <w:t>C</w:t>
      </w:r>
      <w:r>
        <w:rPr>
          <w:color w:val="231F20"/>
          <w:spacing w:val="4"/>
        </w:rPr>
        <w:t>类和</w:t>
      </w:r>
      <w:r>
        <w:rPr>
          <w:rFonts w:ascii="Times New Roman" w:hAnsi="Times New Roman" w:eastAsia="Times New Roman" w:cs="Times New Roman"/>
          <w:color w:val="231F20"/>
          <w:spacing w:val="4"/>
        </w:rPr>
        <w:t>D</w:t>
      </w:r>
      <w:r>
        <w:rPr>
          <w:color w:val="231F20"/>
          <w:spacing w:val="4"/>
        </w:rPr>
        <w:t>类公司分别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为</w:t>
      </w:r>
      <w:r>
        <w:rPr>
          <w:rFonts w:ascii="Times New Roman" w:hAnsi="Times New Roman" w:eastAsia="Times New Roman" w:cs="Times New Roman"/>
          <w:color w:val="231F20"/>
          <w:spacing w:val="-2"/>
        </w:rPr>
        <w:t>8</w:t>
      </w:r>
      <w:r>
        <w:rPr>
          <w:color w:val="231F20"/>
          <w:spacing w:val="-2"/>
        </w:rPr>
        <w:t>家和</w:t>
      </w:r>
      <w:r>
        <w:rPr>
          <w:rFonts w:ascii="Times New Roman" w:hAnsi="Times New Roman" w:eastAsia="Times New Roman" w:cs="Times New Roman"/>
          <w:color w:val="231F20"/>
          <w:spacing w:val="-2"/>
        </w:rPr>
        <w:t>11</w:t>
      </w:r>
      <w:r>
        <w:rPr>
          <w:color w:val="231F20"/>
          <w:spacing w:val="-2"/>
        </w:rPr>
        <w:t>家，分别较上年减少</w:t>
      </w:r>
      <w:r>
        <w:rPr>
          <w:rFonts w:ascii="Times New Roman" w:hAnsi="Times New Roman" w:eastAsia="Times New Roman" w:cs="Times New Roman"/>
          <w:color w:val="231F20"/>
          <w:spacing w:val="-2"/>
        </w:rPr>
        <w:t>4</w:t>
      </w:r>
      <w:r>
        <w:rPr>
          <w:color w:val="231F20"/>
          <w:spacing w:val="-2"/>
        </w:rPr>
        <w:t>家和</w:t>
      </w:r>
      <w:r>
        <w:rPr>
          <w:rFonts w:ascii="Times New Roman" w:hAnsi="Times New Roman" w:eastAsia="Times New Roman" w:cs="Times New Roman"/>
          <w:color w:val="231F20"/>
          <w:spacing w:val="-2"/>
        </w:rPr>
        <w:t>2</w:t>
      </w:r>
      <w:r>
        <w:rPr>
          <w:color w:val="231F20"/>
          <w:spacing w:val="-2"/>
        </w:rPr>
        <w:t>家。</w:t>
      </w:r>
    </w:p>
    <w:p>
      <w:pPr>
        <w:pStyle w:val="BodyText"/>
        <w:ind w:left="5" w:right="342" w:firstLine="431"/>
        <w:spacing w:line="258" w:lineRule="auto"/>
        <w:jc w:val="both"/>
        <w:rPr/>
      </w:pPr>
      <w:r>
        <w:rPr>
          <w:color w:val="231F20"/>
          <w:spacing w:val="9"/>
        </w:rPr>
        <w:t>资产配置结构总体稳定，投资收益率同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>比提升。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6"/>
        </w:rPr>
        <w:t>截至</w:t>
      </w:r>
      <w:r>
        <w:rPr>
          <w:rFonts w:ascii="Times New Roman" w:hAnsi="Times New Roman" w:eastAsia="Times New Roman" w:cs="Times New Roman"/>
          <w:color w:val="231F20"/>
          <w:spacing w:val="6"/>
        </w:rPr>
        <w:t>2024</w:t>
      </w:r>
      <w:r>
        <w:rPr>
          <w:color w:val="231F20"/>
          <w:spacing w:val="6"/>
        </w:rPr>
        <w:t>年末，保险业资金运用余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额</w:t>
      </w:r>
      <w:r>
        <w:rPr>
          <w:rFonts w:ascii="Times New Roman" w:hAnsi="Times New Roman" w:eastAsia="Times New Roman" w:cs="Times New Roman"/>
          <w:color w:val="231F20"/>
          <w:spacing w:val="3"/>
        </w:rPr>
        <w:t>33.26</w:t>
      </w:r>
      <w:r>
        <w:rPr>
          <w:color w:val="231F20"/>
          <w:spacing w:val="3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3"/>
        </w:rPr>
        <w:t>15.08%</w:t>
      </w:r>
      <w:r>
        <w:rPr>
          <w:color w:val="231F20"/>
          <w:spacing w:val="3"/>
        </w:rPr>
        <w:t>，增速较上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</w:rPr>
        <w:t>年上升</w:t>
      </w:r>
      <w:r>
        <w:rPr>
          <w:rFonts w:ascii="Times New Roman" w:hAnsi="Times New Roman" w:eastAsia="Times New Roman" w:cs="Times New Roman"/>
          <w:color w:val="231F20"/>
        </w:rPr>
        <w:t>3.48</w:t>
      </w:r>
      <w:r>
        <w:rPr>
          <w:color w:val="231F20"/>
        </w:rPr>
        <w:t>个百分点。资产配置中，债券、股</w:t>
      </w:r>
    </w:p>
    <w:p>
      <w:pPr>
        <w:spacing w:line="33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8" w:right="10" w:firstLine="3"/>
        <w:spacing w:before="40" w:line="258" w:lineRule="auto"/>
        <w:jc w:val="both"/>
        <w:rPr/>
      </w:pPr>
      <w:r>
        <w:rPr>
          <w:color w:val="231F20"/>
          <w:spacing w:val="8"/>
        </w:rPr>
        <w:t>票和证券投资基金占比上升，银行存款、其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4"/>
        </w:rPr>
        <w:t>他投资占比下降（见表</w:t>
      </w:r>
      <w:r>
        <w:rPr>
          <w:rFonts w:ascii="Times New Roman" w:hAnsi="Times New Roman" w:eastAsia="Times New Roman" w:cs="Times New Roman"/>
          <w:color w:val="231F20"/>
          <w:spacing w:val="4"/>
        </w:rPr>
        <w:t>3</w:t>
      </w:r>
      <w:r>
        <w:rPr>
          <w:color w:val="231F20"/>
          <w:spacing w:val="4"/>
        </w:rPr>
        <w:t>-</w:t>
      </w:r>
      <w:r>
        <w:rPr>
          <w:rFonts w:ascii="Times New Roman" w:hAnsi="Times New Roman" w:eastAsia="Times New Roman" w:cs="Times New Roman"/>
          <w:color w:val="231F20"/>
          <w:spacing w:val="4"/>
        </w:rPr>
        <w:t>1</w:t>
      </w:r>
      <w:r>
        <w:rPr>
          <w:color w:val="231F20"/>
          <w:spacing w:val="4"/>
        </w:rPr>
        <w:t>）。</w:t>
      </w:r>
      <w:r>
        <w:rPr>
          <w:rFonts w:ascii="Times New Roman" w:hAnsi="Times New Roman" w:eastAsia="Times New Roman" w:cs="Times New Roman"/>
          <w:color w:val="231F20"/>
          <w:spacing w:val="4"/>
        </w:rPr>
        <w:t>2024</w:t>
      </w:r>
      <w:r>
        <w:rPr>
          <w:color w:val="231F20"/>
          <w:spacing w:val="4"/>
        </w:rPr>
        <w:t>年保险资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金运用平均收益率为</w:t>
      </w:r>
      <w:r>
        <w:rPr>
          <w:rFonts w:ascii="Times New Roman" w:hAnsi="Times New Roman" w:eastAsia="Times New Roman" w:cs="Times New Roman"/>
          <w:color w:val="231F20"/>
          <w:spacing w:val="4"/>
        </w:rPr>
        <w:t>3.43%</w:t>
      </w:r>
      <w:r>
        <w:rPr>
          <w:color w:val="231F20"/>
          <w:spacing w:val="4"/>
        </w:rPr>
        <w:t>，同比上升</w:t>
      </w:r>
      <w:r>
        <w:rPr>
          <w:rFonts w:ascii="Times New Roman" w:hAnsi="Times New Roman" w:eastAsia="Times New Roman" w:cs="Times New Roman"/>
          <w:color w:val="231F20"/>
          <w:spacing w:val="4"/>
        </w:rPr>
        <w:t>1.25</w:t>
      </w:r>
      <w:r>
        <w:rPr>
          <w:color w:val="231F20"/>
          <w:spacing w:val="4"/>
        </w:rPr>
        <w:t>个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百分点（见图</w:t>
      </w:r>
      <w:r>
        <w:rPr>
          <w:rFonts w:ascii="Times New Roman" w:hAnsi="Times New Roman" w:eastAsia="Times New Roman" w:cs="Times New Roman"/>
          <w:color w:val="231F20"/>
          <w:spacing w:val="1"/>
        </w:rPr>
        <w:t>3</w:t>
      </w:r>
      <w:r>
        <w:rPr>
          <w:color w:val="231F20"/>
          <w:spacing w:val="1"/>
        </w:rPr>
        <w:t>-</w:t>
      </w:r>
      <w:r>
        <w:rPr>
          <w:rFonts w:ascii="Times New Roman" w:hAnsi="Times New Roman" w:eastAsia="Times New Roman" w:cs="Times New Roman"/>
          <w:color w:val="231F20"/>
          <w:spacing w:val="1"/>
        </w:rPr>
        <w:t>2</w:t>
      </w:r>
      <w:r>
        <w:rPr>
          <w:color w:val="231F20"/>
          <w:spacing w:val="1"/>
        </w:rPr>
        <w:t>）。</w:t>
      </w:r>
    </w:p>
    <w:p>
      <w:pPr>
        <w:pStyle w:val="BodyText"/>
        <w:ind w:left="445"/>
        <w:spacing w:before="223" w:line="133" w:lineRule="exact"/>
        <w:rPr>
          <w:sz w:val="13"/>
          <w:szCs w:val="13"/>
        </w:rPr>
      </w:pPr>
      <w:r>
        <w:rPr>
          <w:sz w:val="13"/>
          <w:szCs w:val="13"/>
          <w:color w:val="231F20"/>
        </w:rPr>
        <w:drawing>
          <wp:inline distT="0" distB="0" distL="0" distR="0">
            <wp:extent cx="126110" cy="50393"/>
            <wp:effectExtent l="0" t="0" r="0" b="0"/>
            <wp:docPr id="282" name="IM 282"/>
            <wp:cNvGraphicFramePr/>
            <a:graphic>
              <a:graphicData uri="http://schemas.openxmlformats.org/drawingml/2006/picture">
                <pic:pic>
                  <pic:nvPicPr>
                    <pic:cNvPr id="282" name="IM 282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10" cy="5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6"/>
          <w:position w:val="-1"/>
        </w:rPr>
        <w:t xml:space="preserve"> </w:t>
      </w:r>
      <w:r>
        <w:rPr>
          <w:sz w:val="13"/>
          <w:szCs w:val="13"/>
          <w:color w:val="231F20"/>
          <w:spacing w:val="11"/>
          <w:position w:val="-1"/>
        </w:rPr>
        <w:t>资金运用平均收益率</w:t>
      </w:r>
      <w:r>
        <w:rPr>
          <w:sz w:val="13"/>
          <w:szCs w:val="13"/>
          <w:color w:val="231F20"/>
          <w:spacing w:val="2"/>
          <w:position w:val="-1"/>
        </w:rPr>
        <w:t xml:space="preserve">       </w:t>
      </w:r>
      <w:r>
        <w:rPr>
          <w:sz w:val="13"/>
          <w:szCs w:val="13"/>
          <w:color w:val="EE4256"/>
          <w:spacing w:val="11"/>
          <w:position w:val="-1"/>
        </w:rPr>
        <w:t>---近10年平均收益率</w:t>
      </w:r>
    </w:p>
    <w:p>
      <w:pPr>
        <w:pStyle w:val="BodyText"/>
        <w:spacing w:line="289" w:lineRule="auto"/>
        <w:rPr/>
      </w:pPr>
      <w:r>
        <w:drawing>
          <wp:anchor distT="0" distB="0" distL="0" distR="0" simplePos="0" relativeHeight="2519592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26558</wp:posOffset>
            </wp:positionV>
            <wp:extent cx="2524860" cy="1334886"/>
            <wp:effectExtent l="0" t="0" r="0" b="0"/>
            <wp:wrapNone/>
            <wp:docPr id="284" name="IM 284"/>
            <wp:cNvGraphicFramePr/>
            <a:graphic>
              <a:graphicData uri="http://schemas.openxmlformats.org/drawingml/2006/picture">
                <pic:pic>
                  <pic:nvPicPr>
                    <pic:cNvPr id="284" name="IM 284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24860" cy="133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89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line="290" w:lineRule="auto"/>
        <w:rPr/>
      </w:pPr>
      <w:r/>
    </w:p>
    <w:p>
      <w:pPr>
        <w:pStyle w:val="BodyText"/>
        <w:spacing w:before="63" w:line="131" w:lineRule="exact"/>
        <w:jc w:val="right"/>
        <w:rPr>
          <w:sz w:val="13"/>
          <w:szCs w:val="13"/>
        </w:rPr>
      </w:pPr>
      <w:r>
        <w:rPr>
          <w:sz w:val="13"/>
          <w:szCs w:val="13"/>
          <w:color w:val="231F20"/>
          <w:position w:val="-1"/>
        </w:rPr>
        <w:t>年</w:t>
      </w:r>
    </w:p>
    <w:p>
      <w:pPr>
        <w:pStyle w:val="BodyText"/>
        <w:ind w:left="211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图3-2    2015—2024年保险资金运用平均收益率</w:t>
      </w:r>
    </w:p>
    <w:p>
      <w:pPr>
        <w:pStyle w:val="BodyText"/>
        <w:ind w:left="917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（数据来源：金融监管总局）</w:t>
      </w:r>
    </w:p>
    <w:p>
      <w:pPr>
        <w:spacing w:line="196" w:lineRule="auto"/>
        <w:sectPr>
          <w:type w:val="continuous"/>
          <w:pgSz w:w="11906" w:h="16158"/>
          <w:pgMar w:top="1367" w:right="1689" w:bottom="400" w:left="1417" w:header="1044" w:footer="0" w:gutter="0"/>
          <w:cols w:equalWidth="0" w:num="2">
            <w:col w:w="4509" w:space="100"/>
            <w:col w:w="4191" w:space="0"/>
          </w:cols>
        </w:sectPr>
        <w:rPr>
          <w:sz w:val="18"/>
          <w:szCs w:val="18"/>
        </w:rPr>
      </w:pPr>
    </w:p>
    <w:p>
      <w:pPr>
        <w:pStyle w:val="BodyText"/>
        <w:ind w:left="415"/>
        <w:spacing w:before="342" w:line="206" w:lineRule="auto"/>
        <w:rPr/>
      </w:pPr>
      <w:r>
        <w:rPr>
          <w:color w:val="174B8B"/>
          <w:spacing w:val="1"/>
        </w:rPr>
        <w:t>表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>3</w:t>
      </w:r>
      <w:r>
        <w:rPr>
          <w:color w:val="174B8B"/>
          <w:spacing w:val="1"/>
        </w:rPr>
        <w:t>-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>1                                 </w:t>
      </w:r>
      <w:r>
        <w:rPr>
          <w:color w:val="174B8B"/>
          <w:spacing w:val="1"/>
        </w:rPr>
        <w:t>保险资金运用情况（截至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>2024</w:t>
      </w:r>
      <w:r>
        <w:rPr>
          <w:color w:val="174B8B"/>
          <w:spacing w:val="1"/>
        </w:rPr>
        <w:t>年末）</w:t>
      </w:r>
    </w:p>
    <w:p>
      <w:pPr>
        <w:spacing w:line="26" w:lineRule="exact"/>
        <w:rPr/>
      </w:pPr>
      <w:r/>
    </w:p>
    <w:tbl>
      <w:tblPr>
        <w:tblStyle w:val="TableNormal"/>
        <w:tblW w:w="877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386"/>
        <w:gridCol w:w="1361"/>
        <w:gridCol w:w="1224"/>
        <w:gridCol w:w="2446"/>
        <w:gridCol w:w="1360"/>
      </w:tblGrid>
      <w:tr>
        <w:trPr>
          <w:trHeight w:val="446" w:hRule="atLeast"/>
        </w:trPr>
        <w:tc>
          <w:tcPr>
            <w:shd w:val="clear" w:fill="174B8B"/>
            <w:tcW w:w="2386" w:type="dxa"/>
            <w:vAlign w:val="top"/>
            <w:tcBorders>
              <w:left w:val="nil"/>
            </w:tcBorders>
          </w:tcPr>
          <w:p>
            <w:pPr>
              <w:pStyle w:val="TableText"/>
              <w:ind w:left="840"/>
              <w:spacing w:before="137" w:line="174" w:lineRule="auto"/>
              <w:rPr/>
            </w:pPr>
            <w:r>
              <w:rPr>
                <w:color w:val="FFFFFF"/>
                <w:spacing w:val="-2"/>
              </w:rPr>
              <w:t>投资结构</w:t>
            </w:r>
          </w:p>
        </w:tc>
        <w:tc>
          <w:tcPr>
            <w:shd w:val="clear" w:fill="174B8B"/>
            <w:tcW w:w="1361" w:type="dxa"/>
            <w:vAlign w:val="top"/>
          </w:tcPr>
          <w:p>
            <w:pPr>
              <w:pStyle w:val="TableText"/>
              <w:ind w:left="321"/>
              <w:spacing w:before="136" w:line="175" w:lineRule="auto"/>
              <w:rPr/>
            </w:pPr>
            <w:r>
              <w:rPr>
                <w:color w:val="FFFFFF"/>
                <w:spacing w:val="-2"/>
              </w:rPr>
              <w:t>银行存款</w:t>
            </w:r>
          </w:p>
        </w:tc>
        <w:tc>
          <w:tcPr>
            <w:shd w:val="clear" w:fill="174B8B"/>
            <w:tcW w:w="1224" w:type="dxa"/>
            <w:vAlign w:val="top"/>
          </w:tcPr>
          <w:p>
            <w:pPr>
              <w:pStyle w:val="TableText"/>
              <w:ind w:left="431"/>
              <w:spacing w:before="138" w:line="173" w:lineRule="auto"/>
              <w:rPr/>
            </w:pPr>
            <w:r>
              <w:rPr>
                <w:color w:val="FFFFFF"/>
                <w:spacing w:val="-2"/>
              </w:rPr>
              <w:t>债券</w:t>
            </w:r>
          </w:p>
        </w:tc>
        <w:tc>
          <w:tcPr>
            <w:shd w:val="clear" w:fill="174B8B"/>
            <w:tcW w:w="2446" w:type="dxa"/>
            <w:vAlign w:val="top"/>
          </w:tcPr>
          <w:p>
            <w:pPr>
              <w:pStyle w:val="TableText"/>
              <w:ind w:left="415"/>
              <w:spacing w:before="137" w:line="174" w:lineRule="auto"/>
              <w:rPr/>
            </w:pPr>
            <w:r>
              <w:rPr>
                <w:color w:val="FFFFFF"/>
                <w:spacing w:val="-1"/>
              </w:rPr>
              <w:t>股票和证券投资基金</w:t>
            </w:r>
          </w:p>
        </w:tc>
        <w:tc>
          <w:tcPr>
            <w:shd w:val="clear" w:fill="174B8B"/>
            <w:tcW w:w="1360" w:type="dxa"/>
            <w:vAlign w:val="top"/>
            <w:tcBorders>
              <w:right w:val="nil"/>
            </w:tcBorders>
          </w:tcPr>
          <w:p>
            <w:pPr>
              <w:pStyle w:val="TableText"/>
              <w:ind w:left="327"/>
              <w:spacing w:before="137" w:line="174" w:lineRule="auto"/>
              <w:rPr/>
            </w:pPr>
            <w:r>
              <w:rPr>
                <w:color w:val="FFFFFF"/>
                <w:spacing w:val="-3"/>
              </w:rPr>
              <w:t>其他投资</w:t>
            </w:r>
          </w:p>
        </w:tc>
      </w:tr>
      <w:tr>
        <w:trPr>
          <w:trHeight w:val="441" w:hRule="atLeast"/>
        </w:trPr>
        <w:tc>
          <w:tcPr>
            <w:shd w:val="clear" w:fill="D4E5F5"/>
            <w:tcW w:w="2386" w:type="dxa"/>
            <w:vAlign w:val="top"/>
            <w:tcBorders>
              <w:left w:val="nil"/>
            </w:tcBorders>
          </w:tcPr>
          <w:p>
            <w:pPr>
              <w:pStyle w:val="TableText"/>
              <w:ind w:left="657"/>
              <w:spacing w:before="129" w:line="178" w:lineRule="auto"/>
              <w:rPr/>
            </w:pPr>
            <w:r>
              <w:rPr>
                <w:color w:val="231F20"/>
              </w:rPr>
              <w:t>规模（亿元）</w:t>
            </w:r>
          </w:p>
        </w:tc>
        <w:tc>
          <w:tcPr>
            <w:shd w:val="clear" w:fill="D4E5F5"/>
            <w:tcW w:w="1361" w:type="dxa"/>
            <w:vAlign w:val="top"/>
          </w:tcPr>
          <w:p>
            <w:pPr>
              <w:pStyle w:val="TableText"/>
              <w:ind w:left="459"/>
              <w:spacing w:before="128" w:line="209" w:lineRule="auto"/>
              <w:rPr/>
            </w:pPr>
            <w:r>
              <w:rPr>
                <w:color w:val="231F20"/>
                <w:spacing w:val="-10"/>
              </w:rPr>
              <w:t>31530</w:t>
            </w:r>
          </w:p>
        </w:tc>
        <w:tc>
          <w:tcPr>
            <w:shd w:val="clear" w:fill="D4E5F5"/>
            <w:tcW w:w="1224" w:type="dxa"/>
            <w:vAlign w:val="top"/>
          </w:tcPr>
          <w:p>
            <w:pPr>
              <w:pStyle w:val="TableText"/>
              <w:ind w:left="358"/>
              <w:spacing w:before="128" w:line="209" w:lineRule="auto"/>
              <w:rPr/>
            </w:pPr>
            <w:r>
              <w:rPr>
                <w:color w:val="231F20"/>
                <w:spacing w:val="-12"/>
              </w:rPr>
              <w:t>162907</w:t>
            </w:r>
          </w:p>
        </w:tc>
        <w:tc>
          <w:tcPr>
            <w:shd w:val="clear" w:fill="D4E5F5"/>
            <w:tcW w:w="2446" w:type="dxa"/>
            <w:vAlign w:val="top"/>
          </w:tcPr>
          <w:p>
            <w:pPr>
              <w:pStyle w:val="TableText"/>
              <w:ind w:left="996"/>
              <w:spacing w:before="128" w:line="209" w:lineRule="auto"/>
              <w:rPr/>
            </w:pPr>
            <w:r>
              <w:rPr>
                <w:color w:val="231F20"/>
                <w:spacing w:val="-9"/>
              </w:rPr>
              <w:t>41572</w:t>
            </w:r>
          </w:p>
        </w:tc>
        <w:tc>
          <w:tcPr>
            <w:shd w:val="clear" w:fill="D4E5F5"/>
            <w:tcW w:w="1360" w:type="dxa"/>
            <w:vAlign w:val="top"/>
            <w:tcBorders>
              <w:right w:val="nil"/>
            </w:tcBorders>
          </w:tcPr>
          <w:p>
            <w:pPr>
              <w:pStyle w:val="TableText"/>
              <w:ind w:left="456"/>
              <w:spacing w:before="128" w:line="209" w:lineRule="auto"/>
              <w:rPr/>
            </w:pPr>
            <w:r>
              <w:rPr>
                <w:color w:val="231F20"/>
                <w:spacing w:val="-10"/>
              </w:rPr>
              <w:t>96571</w:t>
            </w:r>
          </w:p>
        </w:tc>
      </w:tr>
      <w:tr>
        <w:trPr>
          <w:trHeight w:val="441" w:hRule="atLeast"/>
        </w:trPr>
        <w:tc>
          <w:tcPr>
            <w:shd w:val="clear" w:fill="D4E5F5"/>
            <w:tcW w:w="2386" w:type="dxa"/>
            <w:vAlign w:val="top"/>
            <w:tcBorders>
              <w:left w:val="nil"/>
            </w:tcBorders>
          </w:tcPr>
          <w:p>
            <w:pPr>
              <w:pStyle w:val="TableText"/>
              <w:ind w:left="786"/>
              <w:spacing w:before="136" w:line="174" w:lineRule="auto"/>
              <w:rPr/>
            </w:pPr>
            <w:r>
              <w:rPr>
                <w:color w:val="231F20"/>
                <w:spacing w:val="-6"/>
              </w:rPr>
              <w:t>占比（%）</w:t>
            </w:r>
          </w:p>
        </w:tc>
        <w:tc>
          <w:tcPr>
            <w:shd w:val="clear" w:fill="D4E5F5"/>
            <w:tcW w:w="1361" w:type="dxa"/>
            <w:vAlign w:val="top"/>
          </w:tcPr>
          <w:p>
            <w:pPr>
              <w:pStyle w:val="TableText"/>
              <w:ind w:left="524"/>
              <w:spacing w:before="130" w:line="208" w:lineRule="auto"/>
              <w:rPr/>
            </w:pPr>
            <w:r>
              <w:rPr>
                <w:color w:val="231F20"/>
                <w:spacing w:val="-8"/>
              </w:rPr>
              <w:t>9.48</w:t>
            </w:r>
          </w:p>
        </w:tc>
        <w:tc>
          <w:tcPr>
            <w:shd w:val="clear" w:fill="D4E5F5"/>
            <w:tcW w:w="1224" w:type="dxa"/>
            <w:vAlign w:val="top"/>
          </w:tcPr>
          <w:p>
            <w:pPr>
              <w:pStyle w:val="TableText"/>
              <w:ind w:left="408"/>
              <w:spacing w:before="130" w:line="208" w:lineRule="auto"/>
              <w:rPr/>
            </w:pPr>
            <w:r>
              <w:rPr>
                <w:color w:val="231F20"/>
                <w:spacing w:val="-8"/>
              </w:rPr>
              <w:t>48.98</w:t>
            </w:r>
          </w:p>
        </w:tc>
        <w:tc>
          <w:tcPr>
            <w:shd w:val="clear" w:fill="D4E5F5"/>
            <w:tcW w:w="2446" w:type="dxa"/>
            <w:vAlign w:val="top"/>
          </w:tcPr>
          <w:p>
            <w:pPr>
              <w:pStyle w:val="TableText"/>
              <w:ind w:left="1036"/>
              <w:spacing w:before="130" w:line="208" w:lineRule="auto"/>
              <w:rPr/>
            </w:pPr>
            <w:r>
              <w:rPr>
                <w:color w:val="231F20"/>
                <w:spacing w:val="-11"/>
              </w:rPr>
              <w:t>12.50</w:t>
            </w:r>
          </w:p>
        </w:tc>
        <w:tc>
          <w:tcPr>
            <w:shd w:val="clear" w:fill="D4E5F5"/>
            <w:tcW w:w="1360" w:type="dxa"/>
            <w:vAlign w:val="top"/>
            <w:tcBorders>
              <w:right w:val="nil"/>
            </w:tcBorders>
          </w:tcPr>
          <w:p>
            <w:pPr>
              <w:pStyle w:val="TableText"/>
              <w:ind w:left="479"/>
              <w:spacing w:before="130" w:line="208" w:lineRule="auto"/>
              <w:rPr/>
            </w:pPr>
            <w:r>
              <w:rPr>
                <w:color w:val="231F20"/>
                <w:spacing w:val="-9"/>
              </w:rPr>
              <w:t>29.04</w:t>
            </w:r>
          </w:p>
        </w:tc>
      </w:tr>
      <w:tr>
        <w:trPr>
          <w:trHeight w:val="446" w:hRule="atLeast"/>
        </w:trPr>
        <w:tc>
          <w:tcPr>
            <w:shd w:val="clear" w:fill="D4E5F5"/>
            <w:tcW w:w="2386" w:type="dxa"/>
            <w:vAlign w:val="top"/>
            <w:tcBorders>
              <w:left w:val="nil"/>
            </w:tcBorders>
          </w:tcPr>
          <w:p>
            <w:pPr>
              <w:pStyle w:val="TableText"/>
              <w:ind w:left="313"/>
              <w:spacing w:before="139" w:line="176" w:lineRule="auto"/>
              <w:rPr/>
            </w:pPr>
            <w:r>
              <w:rPr>
                <w:color w:val="231F20"/>
                <w:spacing w:val="-2"/>
              </w:rPr>
              <w:t>同比变动（个百分点）</w:t>
            </w:r>
          </w:p>
        </w:tc>
        <w:tc>
          <w:tcPr>
            <w:shd w:val="clear" w:fill="D4E5F5"/>
            <w:tcW w:w="1361" w:type="dxa"/>
            <w:vAlign w:val="top"/>
          </w:tcPr>
          <w:p>
            <w:pPr>
              <w:pStyle w:val="TableText"/>
              <w:ind w:left="477"/>
              <w:spacing w:before="134" w:line="209" w:lineRule="auto"/>
              <w:rPr/>
            </w:pPr>
            <w:r>
              <w:rPr>
                <w:color w:val="231F20"/>
                <w:spacing w:val="-2"/>
              </w:rPr>
              <w:t>-0.36</w:t>
            </w:r>
          </w:p>
        </w:tc>
        <w:tc>
          <w:tcPr>
            <w:shd w:val="clear" w:fill="D4E5F5"/>
            <w:tcW w:w="1224" w:type="dxa"/>
            <w:vAlign w:val="top"/>
          </w:tcPr>
          <w:p>
            <w:pPr>
              <w:pStyle w:val="TableText"/>
              <w:ind w:left="458"/>
              <w:spacing w:before="134" w:line="209" w:lineRule="auto"/>
              <w:rPr/>
            </w:pPr>
            <w:r>
              <w:rPr>
                <w:color w:val="231F20"/>
                <w:spacing w:val="-9"/>
              </w:rPr>
              <w:t>3.57</w:t>
            </w:r>
          </w:p>
        </w:tc>
        <w:tc>
          <w:tcPr>
            <w:shd w:val="clear" w:fill="D4E5F5"/>
            <w:tcW w:w="2446" w:type="dxa"/>
            <w:vAlign w:val="top"/>
          </w:tcPr>
          <w:p>
            <w:pPr>
              <w:pStyle w:val="TableText"/>
              <w:ind w:left="1066"/>
              <w:spacing w:before="134" w:line="209" w:lineRule="auto"/>
              <w:rPr/>
            </w:pPr>
            <w:r>
              <w:rPr>
                <w:color w:val="231F20"/>
                <w:spacing w:val="-8"/>
              </w:rPr>
              <w:t>0.48</w:t>
            </w:r>
          </w:p>
        </w:tc>
        <w:tc>
          <w:tcPr>
            <w:shd w:val="clear" w:fill="D4E5F5"/>
            <w:tcW w:w="1360" w:type="dxa"/>
            <w:vAlign w:val="top"/>
            <w:tcBorders>
              <w:right w:val="nil"/>
            </w:tcBorders>
          </w:tcPr>
          <w:p>
            <w:pPr>
              <w:pStyle w:val="TableText"/>
              <w:ind w:left="477"/>
              <w:spacing w:before="134" w:line="209" w:lineRule="auto"/>
              <w:rPr/>
            </w:pPr>
            <w:r>
              <w:rPr>
                <w:color w:val="231F20"/>
                <w:spacing w:val="-2"/>
              </w:rPr>
              <w:t>-3.68</w:t>
            </w:r>
          </w:p>
        </w:tc>
      </w:tr>
    </w:tbl>
    <w:p>
      <w:pPr>
        <w:pStyle w:val="BodyText"/>
        <w:rPr/>
      </w:pPr>
      <w:r/>
    </w:p>
    <w:p>
      <w:pPr>
        <w:spacing w:line="14" w:lineRule="exact"/>
        <w:rPr/>
      </w:pPr>
      <w:r/>
    </w:p>
    <w:p>
      <w:pPr>
        <w:spacing w:line="14" w:lineRule="exact"/>
        <w:sectPr>
          <w:type w:val="continuous"/>
          <w:pgSz w:w="11906" w:h="16158"/>
          <w:pgMar w:top="1367" w:right="1689" w:bottom="400" w:left="1417" w:header="1044" w:footer="0" w:gutter="0"/>
          <w:cols w:equalWidth="0" w:num="1">
            <w:col w:w="8800" w:space="0"/>
          </w:cols>
        </w:sectPr>
        <w:rPr/>
      </w:pPr>
    </w:p>
    <w:p>
      <w:pPr>
        <w:pStyle w:val="BodyText"/>
        <w:ind w:left="417"/>
        <w:spacing w:before="48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（三）制度建设</w:t>
      </w:r>
    </w:p>
    <w:p>
      <w:pPr>
        <w:pStyle w:val="BodyText"/>
        <w:ind w:left="3" w:right="356" w:firstLine="428"/>
        <w:spacing w:before="251" w:line="249" w:lineRule="auto"/>
        <w:rPr/>
      </w:pPr>
      <w:r>
        <w:rPr>
          <w:color w:val="231F20"/>
          <w:spacing w:val="9"/>
        </w:rPr>
        <w:t>一是完善绿色保险政策体系。   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rFonts w:ascii="Times New Roman" w:hAnsi="Times New Roman" w:eastAsia="Times New Roman" w:cs="Times New Roman"/>
          <w:color w:val="231F20"/>
          <w:spacing w:val="-9"/>
        </w:rPr>
        <w:t xml:space="preserve"> </w:t>
      </w:r>
      <w:r>
        <w:rPr>
          <w:color w:val="231F20"/>
          <w:spacing w:val="9"/>
        </w:rPr>
        <w:t>年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4"/>
        </w:rPr>
        <w:t>4</w:t>
      </w:r>
      <w:r>
        <w:rPr>
          <w:color w:val="231F20"/>
          <w:spacing w:val="14"/>
        </w:rPr>
        <w:t>月，金融监管总局印发《关于推动绿色保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9"/>
        </w:rPr>
        <w:t>险高质量发展的指导意见》，从加强重点领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域绿色保险保障、保险资金绿色投资支持、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绿色保险经营管理能力支撑等方面提出明确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要求。</w:t>
      </w:r>
    </w:p>
    <w:p>
      <w:pPr>
        <w:pStyle w:val="BodyText"/>
        <w:ind w:left="9" w:right="357" w:firstLine="422"/>
        <w:spacing w:before="2" w:line="257" w:lineRule="auto"/>
        <w:jc w:val="both"/>
        <w:rPr/>
      </w:pPr>
      <w:r>
        <w:rPr>
          <w:color w:val="231F20"/>
          <w:spacing w:val="23"/>
        </w:rPr>
        <w:t>二是发挥保险机构优势做好金融“五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9"/>
        </w:rPr>
        <w:t>篇大文章”。</w:t>
      </w:r>
      <w:r>
        <w:rPr>
          <w:color w:val="231F20"/>
          <w:spacing w:val="3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color w:val="231F20"/>
          <w:spacing w:val="9"/>
        </w:rPr>
        <w:t>年</w:t>
      </w:r>
      <w:r>
        <w:rPr>
          <w:rFonts w:ascii="Times New Roman" w:hAnsi="Times New Roman" w:eastAsia="Times New Roman" w:cs="Times New Roman"/>
          <w:color w:val="231F20"/>
          <w:spacing w:val="9"/>
        </w:rPr>
        <w:t>5</w:t>
      </w:r>
      <w:r>
        <w:rPr>
          <w:color w:val="231F20"/>
          <w:spacing w:val="9"/>
        </w:rPr>
        <w:t>月，金融监管总局印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发《关于银行业保险业做好金融“五篇大文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10" w:firstLine="1"/>
        <w:spacing w:before="51" w:line="249" w:lineRule="auto"/>
        <w:jc w:val="both"/>
        <w:rPr/>
      </w:pPr>
      <w:r>
        <w:rPr>
          <w:color w:val="231F20"/>
          <w:spacing w:val="21"/>
        </w:rPr>
        <w:t>章”的指导意见》，从优化金融产品和服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务、发挥银行保险机构职能优势、完善银行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保险机构组织管理体系、做好监管支持等方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面进行了部署。</w:t>
      </w:r>
    </w:p>
    <w:p>
      <w:pPr>
        <w:pStyle w:val="BodyText"/>
        <w:ind w:right="10" w:firstLine="427"/>
        <w:spacing w:before="3" w:line="249" w:lineRule="auto"/>
        <w:jc w:val="both"/>
        <w:rPr/>
      </w:pPr>
      <w:r>
        <w:rPr>
          <w:color w:val="231F20"/>
          <w:spacing w:val="1"/>
        </w:rPr>
        <w:t>三是防范和化解保险欺诈风险。   </w:t>
      </w:r>
      <w:r>
        <w:rPr>
          <w:rFonts w:ascii="Times New Roman" w:hAnsi="Times New Roman" w:eastAsia="Times New Roman" w:cs="Times New Roman"/>
          <w:color w:val="231F20"/>
          <w:spacing w:val="1"/>
        </w:rPr>
        <w:t>202</w:t>
      </w:r>
      <w:r>
        <w:rPr>
          <w:rFonts w:ascii="Times New Roman" w:hAnsi="Times New Roman" w:eastAsia="Times New Roman" w:cs="Times New Roman"/>
          <w:color w:val="231F20"/>
        </w:rPr>
        <w:t>4</w:t>
      </w:r>
      <w:r>
        <w:rPr>
          <w:color w:val="231F20"/>
        </w:rPr>
        <w:t>年 </w:t>
      </w:r>
      <w:r>
        <w:rPr>
          <w:rFonts w:ascii="Times New Roman" w:hAnsi="Times New Roman" w:eastAsia="Times New Roman" w:cs="Times New Roman"/>
          <w:color w:val="231F20"/>
          <w:spacing w:val="3"/>
        </w:rPr>
        <w:t>7</w:t>
      </w:r>
      <w:r>
        <w:rPr>
          <w:color w:val="231F20"/>
          <w:spacing w:val="3"/>
        </w:rPr>
        <w:t>月，金融监管总局发布《反保险欺诈工作办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9"/>
        </w:rPr>
        <w:t>法》，从工作目标、职责分工以及对外协作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等方面提出明确要求。</w:t>
      </w:r>
    </w:p>
    <w:p>
      <w:pPr>
        <w:pStyle w:val="BodyText"/>
        <w:ind w:left="3" w:right="10" w:firstLine="441"/>
        <w:spacing w:before="5" w:line="207" w:lineRule="auto"/>
        <w:jc w:val="both"/>
        <w:rPr/>
      </w:pPr>
      <w:r>
        <w:rPr>
          <w:color w:val="231F20"/>
        </w:rPr>
        <w:t>四是健全人身保险产品定价机制。   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rFonts w:ascii="Times New Roman" w:hAnsi="Times New Roman" w:eastAsia="Times New Roman" w:cs="Times New Roman"/>
          <w:color w:val="231F20"/>
          <w:spacing w:val="2"/>
        </w:rPr>
        <w:t xml:space="preserve"> 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8</w:t>
      </w:r>
      <w:r>
        <w:rPr>
          <w:color w:val="231F20"/>
          <w:spacing w:val="3"/>
        </w:rPr>
        <w:t>月，金融监管总局发布《关于健全人身保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8"/>
        </w:rPr>
        <w:t>险产品定价机制的通知》，建立预定利率与</w:t>
      </w:r>
    </w:p>
    <w:p>
      <w:pPr>
        <w:spacing w:line="207" w:lineRule="auto"/>
        <w:sectPr>
          <w:type w:val="continuous"/>
          <w:pgSz w:w="11906" w:h="16158"/>
          <w:pgMar w:top="1367" w:right="1689" w:bottom="400" w:left="1417" w:header="1044" w:footer="0" w:gutter="0"/>
          <w:cols w:equalWidth="0" w:num="2">
            <w:col w:w="4525" w:space="100"/>
            <w:col w:w="4175" w:space="0"/>
          </w:cols>
        </w:sectPr>
        <w:rPr/>
      </w:pPr>
    </w:p>
    <w:p>
      <w:pPr>
        <w:spacing w:before="155"/>
        <w:rPr/>
      </w:pPr>
      <w:r/>
    </w:p>
    <w:p>
      <w:pPr>
        <w:sectPr>
          <w:headerReference w:type="default" r:id="rId146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5" w:right="357"/>
        <w:spacing w:before="45" w:line="249" w:lineRule="auto"/>
        <w:jc w:val="both"/>
        <w:rPr/>
      </w:pPr>
      <w:bookmarkStart w:name="bookmark46" w:id="26"/>
      <w:bookmarkEnd w:id="26"/>
      <w:r>
        <w:rPr>
          <w:color w:val="231F20"/>
          <w:spacing w:val="9"/>
        </w:rPr>
        <w:t>市场利率挂钩及动态调整机制，要求保险公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司演示分红型和万能型保险产品保单利益时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8"/>
        </w:rPr>
        <w:t>应当突出产品的保险保障功能，深化“报行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-6"/>
        </w:rPr>
        <w:t>合一”。</w:t>
      </w:r>
    </w:p>
    <w:p>
      <w:pPr>
        <w:pStyle w:val="BodyText"/>
        <w:ind w:left="6" w:right="357" w:firstLine="425"/>
        <w:spacing w:before="4" w:line="249" w:lineRule="auto"/>
        <w:jc w:val="both"/>
        <w:rPr/>
      </w:pPr>
      <w:r>
        <w:rPr>
          <w:color w:val="231F20"/>
          <w:spacing w:val="9"/>
        </w:rPr>
        <w:t>五是加强和改进互联网财产保险业务监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管。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8</w:t>
      </w:r>
      <w:r>
        <w:rPr>
          <w:color w:val="231F20"/>
          <w:spacing w:val="3"/>
        </w:rPr>
        <w:t>月，金融监管总局发布《</w:t>
      </w:r>
      <w:r>
        <w:rPr>
          <w:color w:val="231F20"/>
          <w:spacing w:val="2"/>
        </w:rPr>
        <w:t>关于加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强和改进互联网财产保险业务监管有关事项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的通知》，从经营条件、经营原则、经营区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域、风控管理、行为规范等方面提出明确监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管要求。</w:t>
      </w:r>
    </w:p>
    <w:p>
      <w:pPr>
        <w:pStyle w:val="BodyText"/>
        <w:ind w:left="4" w:right="357" w:firstLine="430"/>
        <w:spacing w:before="4" w:line="249" w:lineRule="auto"/>
        <w:rPr/>
      </w:pPr>
      <w:r>
        <w:rPr>
          <w:color w:val="231F20"/>
          <w:spacing w:val="7"/>
        </w:rPr>
        <w:t>六是明确保险业高质量发展行动方案。</w:t>
      </w:r>
      <w:r>
        <w:rPr>
          <w:color w:val="231F20"/>
          <w:spacing w:val="5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9</w:t>
      </w:r>
      <w:r>
        <w:rPr>
          <w:color w:val="231F20"/>
          <w:spacing w:val="3"/>
        </w:rPr>
        <w:t>月，国务院印发《关于加强监管防范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风险推动保险业高质量发展的若干意见》，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在严把保险市场准入关、严格保险机构持续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监管、严肃整治保险违法违规行为、有力有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序有效防范化解保险业风险、提升保险业服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2" w:line="249" w:lineRule="auto"/>
        <w:jc w:val="both"/>
        <w:rPr/>
      </w:pPr>
      <w:r>
        <w:rPr>
          <w:color w:val="231F20"/>
          <w:spacing w:val="9"/>
        </w:rPr>
        <w:t>务民生保障水平、提升保险业服务实体经济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质效、深化保险业改革开放、增强保险业可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持续发展能力以及政策协同等方面提出具体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要求。</w:t>
      </w:r>
    </w:p>
    <w:p>
      <w:pPr>
        <w:pStyle w:val="BodyText"/>
        <w:ind w:firstLine="430"/>
        <w:spacing w:before="4" w:line="249" w:lineRule="auto"/>
        <w:jc w:val="both"/>
        <w:rPr/>
      </w:pPr>
      <w:r>
        <w:rPr>
          <w:color w:val="231F20"/>
        </w:rPr>
        <w:t>七是加强保险机构资产质量管理。   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rFonts w:ascii="Times New Roman" w:hAnsi="Times New Roman" w:eastAsia="Times New Roman" w:cs="Times New Roman"/>
          <w:color w:val="231F20"/>
          <w:spacing w:val="17"/>
          <w:w w:val="101"/>
        </w:rPr>
        <w:t xml:space="preserve"> </w:t>
      </w:r>
      <w:r>
        <w:rPr>
          <w:color w:val="231F20"/>
          <w:spacing w:val="8"/>
        </w:rPr>
        <w:t>年</w:t>
      </w:r>
      <w:r>
        <w:rPr>
          <w:rFonts w:ascii="Times New Roman" w:hAnsi="Times New Roman" w:eastAsia="Times New Roman" w:cs="Times New Roman"/>
          <w:color w:val="231F20"/>
          <w:spacing w:val="8"/>
        </w:rPr>
        <w:t>11</w:t>
      </w:r>
      <w:r>
        <w:rPr>
          <w:color w:val="231F20"/>
          <w:spacing w:val="8"/>
        </w:rPr>
        <w:t>月，金融监管总局发布《保险资产风险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9"/>
        </w:rPr>
        <w:t>分类暂行办法》，完善保险资产风险分类标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准，对固收类资产采取五分法，对权益类和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不动产类资产采取三分法，明确风险分类管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理和监督管理等内容。</w:t>
      </w:r>
    </w:p>
    <w:p>
      <w:pPr>
        <w:pStyle w:val="BodyText"/>
        <w:ind w:firstLine="424"/>
        <w:spacing w:before="5" w:line="249" w:lineRule="auto"/>
        <w:rPr/>
      </w:pPr>
      <w:r>
        <w:rPr>
          <w:color w:val="231F20"/>
          <w:spacing w:val="8"/>
        </w:rPr>
        <w:t>八是规范银行业保险业数据处理活动。</w:t>
      </w:r>
      <w:r>
        <w:rPr>
          <w:color w:val="231F20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-2"/>
        </w:rPr>
        <w:t>2024</w:t>
      </w:r>
      <w:r>
        <w:rPr>
          <w:color w:val="231F20"/>
          <w:spacing w:val="-2"/>
        </w:rPr>
        <w:t>年</w:t>
      </w:r>
      <w:r>
        <w:rPr>
          <w:rFonts w:ascii="Times New Roman" w:hAnsi="Times New Roman" w:eastAsia="Times New Roman" w:cs="Times New Roman"/>
          <w:color w:val="231F20"/>
          <w:spacing w:val="-2"/>
        </w:rPr>
        <w:t>12</w:t>
      </w:r>
      <w:r>
        <w:rPr>
          <w:color w:val="231F20"/>
          <w:spacing w:val="-2"/>
        </w:rPr>
        <w:t>月，金融监管总局发布《银行保险机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构数据安全管理办法》，要求银行保险机构强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化数据治理顶层设计，落实业务数据分类分级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监管要求，强化数据安全管理体系，加强个人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信息保护，完善风险监测处置机制。</w:t>
      </w:r>
    </w:p>
    <w:p>
      <w:pPr>
        <w:spacing w:line="249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5" w:space="100"/>
            <w:col w:w="4164" w:space="0"/>
          </w:cols>
        </w:sectPr>
        <w:rPr/>
      </w:pPr>
    </w:p>
    <w:p>
      <w:pPr>
        <w:pStyle w:val="BodyText"/>
        <w:spacing w:line="260" w:lineRule="auto"/>
        <w:rPr/>
      </w:pPr>
      <w:r/>
    </w:p>
    <w:p>
      <w:pPr>
        <w:pStyle w:val="BodyText"/>
        <w:ind w:left="299"/>
        <w:spacing w:before="136" w:line="176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6646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-99089</wp:posOffset>
                </wp:positionV>
                <wp:extent cx="5580380" cy="3347720"/>
                <wp:effectExtent l="0" t="0" r="0" b="0"/>
                <wp:wrapNone/>
                <wp:docPr id="286" name="Rect 286"/>
                <wp:cNvGraphicFramePr/>
                <a:graphic>
                  <a:graphicData uri="http://schemas.microsoft.com/office/word/2010/wordprocessingShape">
                    <wps:wsp>
                      <wps:cNvPr id="286" name="Rect 286"/>
                      <wps:cNvSpPr/>
                      <wps:spPr>
                        <a:xfrm>
                          <a:off x="0" y="-99089"/>
                          <a:ext cx="5580380" cy="334772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6" style="position:absolute;margin-left:0pt;margin-top:-7.80231pt;mso-position-vertical-relative:text;mso-position-horizontal-relative:text;width:439.4pt;height:263.6pt;z-index:-251350016;" fillcolor="#D4E5F5" filled="true" stroked="false"/>
            </w:pict>
          </mc:Fallback>
        </mc:AlternateContent>
      </w:r>
      <w:bookmarkStart w:name="bookmark24" w:id="27"/>
      <w:bookmarkEnd w:id="27"/>
      <w:r>
        <w:rPr>
          <w:sz w:val="28"/>
          <w:szCs w:val="28"/>
          <w:color w:val="231F20"/>
          <w:spacing w:val="-3"/>
        </w:rPr>
        <w:t>专栏七</w:t>
      </w:r>
      <w:r>
        <w:rPr>
          <w:sz w:val="28"/>
          <w:szCs w:val="28"/>
          <w:color w:val="231F20"/>
          <w:spacing w:val="16"/>
          <w:w w:val="101"/>
        </w:rPr>
        <w:t xml:space="preserve">    </w:t>
      </w:r>
      <w:r>
        <w:rPr>
          <w:sz w:val="28"/>
          <w:szCs w:val="28"/>
          <w:color w:val="231F20"/>
          <w:spacing w:val="-3"/>
        </w:rPr>
        <w:t>防范化解保险业风险的做法和成效</w:t>
      </w:r>
    </w:p>
    <w:p>
      <w:pPr>
        <w:spacing w:line="320" w:lineRule="exact"/>
        <w:rPr/>
      </w:pPr>
      <w:r/>
    </w:p>
    <w:p>
      <w:pPr>
        <w:spacing w:line="320" w:lineRule="exact"/>
        <w:sectPr>
          <w:type w:val="continuous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95" w:right="355" w:firstLine="420"/>
        <w:spacing w:before="44" w:line="251" w:lineRule="auto"/>
        <w:jc w:val="both"/>
        <w:rPr/>
      </w:pPr>
      <w:r>
        <w:rPr>
          <w:color w:val="231F20"/>
          <w:spacing w:val="2"/>
        </w:rPr>
        <w:t>2024年，金融监管总局多措并举，持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续加强动态监测，加快推进高风险保险机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构风险处置工作，积极防范化解保险业风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险，牢牢守住不发生系统性风险的底线。</w:t>
      </w:r>
    </w:p>
    <w:p>
      <w:pPr>
        <w:pStyle w:val="BodyText"/>
        <w:ind w:left="293" w:right="372" w:firstLine="428"/>
        <w:spacing w:line="247" w:lineRule="auto"/>
        <w:rPr/>
      </w:pPr>
      <w:r>
        <w:rPr>
          <w:color w:val="231F20"/>
          <w:spacing w:val="4"/>
        </w:rPr>
        <w:t>一、建立人身险产品预定利率与市场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利率挂钩机制</w:t>
      </w:r>
    </w:p>
    <w:p>
      <w:pPr>
        <w:pStyle w:val="BodyText"/>
        <w:ind w:left="289" w:right="355" w:firstLine="426"/>
        <w:spacing w:before="1" w:line="221" w:lineRule="auto"/>
        <w:jc w:val="both"/>
        <w:rPr/>
      </w:pPr>
      <w:r>
        <w:rPr>
          <w:color w:val="231F20"/>
          <w:spacing w:val="-4"/>
        </w:rPr>
        <w:t>2024年8月，金融监管总局发布《关于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健全人身保险产品定价机制的通知》，强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化资产负债联动。 一方面，下调产品预定</w:t>
      </w:r>
      <w:r>
        <w:rPr>
          <w:color w:val="231F20"/>
          <w:spacing w:val="11"/>
          <w:w w:val="101"/>
        </w:rPr>
        <w:t xml:space="preserve"> </w:t>
      </w:r>
      <w:r>
        <w:rPr>
          <w:color w:val="231F20"/>
          <w:spacing w:val="1"/>
        </w:rPr>
        <w:t>利率。普通险预定利率上限从3.0%下调至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4" w:firstLine="3"/>
        <w:spacing w:before="46" w:line="238" w:lineRule="auto"/>
        <w:jc w:val="both"/>
        <w:rPr/>
      </w:pPr>
      <w:r>
        <w:rPr>
          <w:color w:val="231F20"/>
          <w:spacing w:val="-2"/>
        </w:rPr>
        <w:t>2.5%，分红险预定利率上限从2.5%下调至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2.0%，万能险最低保证利率上限从2.0%下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-5"/>
        </w:rPr>
        <w:t>调至1.5%，为全行业节约成本约100亿元，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5"/>
        </w:rPr>
        <w:t>以后年度随着新单业务的增加，成本降幅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将逐步加大。另一方面，指导保险业协会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研究建立预定利率与市场利率挂钩及动态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调整机制，参考5年期以上贷款市场报价利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率（LPR）、5年期定期存款基准利率、10 </w:t>
      </w:r>
      <w:r>
        <w:rPr>
          <w:color w:val="231F20"/>
          <w:spacing w:val="5"/>
        </w:rPr>
        <w:t>年期国债到期收益率等长期利率，确定预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定利率基准值并在达到触发条件后调整。</w:t>
      </w:r>
    </w:p>
    <w:p>
      <w:pPr>
        <w:spacing w:line="238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3" w:space="100"/>
            <w:col w:w="4166" w:space="0"/>
          </w:cols>
        </w:sectPr>
        <w:rPr/>
      </w:pPr>
    </w:p>
    <w:p>
      <w:pPr>
        <w:spacing w:before="336"/>
        <w:rPr/>
      </w:pPr>
      <w:r/>
    </w:p>
    <w:p>
      <w:pPr>
        <w:sectPr>
          <w:headerReference w:type="default" r:id="rId147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93" w:right="357" w:firstLine="427"/>
        <w:spacing w:before="50" w:line="24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9746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-114880</wp:posOffset>
                </wp:positionV>
                <wp:extent cx="5580380" cy="6555740"/>
                <wp:effectExtent l="0" t="0" r="0" b="0"/>
                <wp:wrapNone/>
                <wp:docPr id="290" name="Rect 290"/>
                <wp:cNvGraphicFramePr/>
                <a:graphic>
                  <a:graphicData uri="http://schemas.microsoft.com/office/word/2010/wordprocessingShape">
                    <wps:wsp>
                      <wps:cNvPr id="290" name="Rect 290"/>
                      <wps:cNvSpPr/>
                      <wps:spPr>
                        <a:xfrm>
                          <a:off x="0" y="-114880"/>
                          <a:ext cx="5580380" cy="65557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8" style="position:absolute;margin-left:0pt;margin-top:-9.04572pt;mso-position-vertical-relative:text;mso-position-horizontal-relative:text;width:439.4pt;height:516.2pt;z-index:-251341824;" fillcolor="#D4E5F5" filled="true" stroked="false"/>
            </w:pict>
          </mc:Fallback>
        </mc:AlternateContent>
      </w:r>
      <w:bookmarkStart w:name="bookmark47" w:id="28"/>
      <w:bookmarkEnd w:id="28"/>
      <w:r>
        <w:rPr>
          <w:color w:val="231F20"/>
          <w:spacing w:val="5"/>
        </w:rPr>
        <w:t>二、引导压降存量万能险和分红险等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1"/>
        </w:rPr>
        <w:t>人身险产品浮动收益</w:t>
      </w:r>
    </w:p>
    <w:p>
      <w:pPr>
        <w:pStyle w:val="BodyText"/>
        <w:ind w:left="288" w:right="356" w:firstLine="432"/>
        <w:spacing w:before="13" w:line="249" w:lineRule="auto"/>
        <w:jc w:val="both"/>
        <w:rPr/>
      </w:pPr>
      <w:r>
        <w:rPr>
          <w:color w:val="231F20"/>
          <w:spacing w:val="5"/>
        </w:rPr>
        <w:t>建立资产端投资收益率向负债端定价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的传导机制，稳步推动万能险和分红险浮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动收益率下降，并下调万能险和分红险演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示利率，合理引导保险消费者预期。2024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年末，全行业万能险结算利率由上年同期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的4.1%下降至3.3%，平均下调80个基点，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-3"/>
        </w:rPr>
        <w:t>压降成本270亿元；将分红险分红水平降至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5"/>
        </w:rPr>
        <w:t>3.1%，平均下调110个基点，合计压降</w:t>
      </w:r>
      <w:r>
        <w:rPr>
          <w:color w:val="231F20"/>
          <w:spacing w:val="-6"/>
        </w:rPr>
        <w:t>成本</w:t>
      </w:r>
      <w:r>
        <w:rPr>
          <w:color w:val="231F20"/>
        </w:rPr>
        <w:t xml:space="preserve"> </w:t>
      </w:r>
      <w:r>
        <w:rPr>
          <w:color w:val="231F20"/>
          <w:spacing w:val="-10"/>
        </w:rPr>
        <w:t>910亿元。</w:t>
      </w:r>
    </w:p>
    <w:p>
      <w:pPr>
        <w:pStyle w:val="BodyText"/>
        <w:ind w:left="724"/>
        <w:spacing w:before="1" w:line="174" w:lineRule="auto"/>
        <w:rPr/>
      </w:pPr>
      <w:r>
        <w:rPr>
          <w:color w:val="231F20"/>
          <w:spacing w:val="-2"/>
        </w:rPr>
        <w:t>三、推动业务费用管理精细化</w:t>
      </w:r>
    </w:p>
    <w:p>
      <w:pPr>
        <w:pStyle w:val="BodyText"/>
        <w:ind w:left="267" w:right="356" w:firstLine="452"/>
        <w:spacing w:before="129" w:line="249" w:lineRule="auto"/>
        <w:rPr/>
      </w:pPr>
      <w:r>
        <w:rPr>
          <w:color w:val="231F20"/>
          <w:spacing w:val="13"/>
        </w:rPr>
        <w:t>一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3"/>
        </w:rPr>
        <w:t>是强化“报行合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13"/>
        </w:rPr>
        <w:t>一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3"/>
        </w:rPr>
        <w:t>”要求。发布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《关于规范人身保险公司银行代理渠道业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6"/>
        </w:rPr>
        <w:t>务有关事项的通知》，要求严格执行经备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案的费用水平，督促公司算账经营，强化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管理。实施车险“查处、通报、挂钩”三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7"/>
        </w:rPr>
        <w:t>项机制，财险业综合费用率为27.1%，为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2005年有全面统计以来最低水平，压降费</w:t>
      </w:r>
      <w:r>
        <w:rPr>
          <w:color w:val="231F20"/>
          <w:spacing w:val="11"/>
          <w:w w:val="102"/>
        </w:rPr>
        <w:t xml:space="preserve"> </w:t>
      </w:r>
      <w:r>
        <w:rPr>
          <w:color w:val="231F20"/>
          <w:spacing w:val="8"/>
        </w:rPr>
        <w:t>用成本约400亿元。二是深化银保合作。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6"/>
        </w:rPr>
        <w:t>印发《关于商业银行代理保险业务有关事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项的通知》，取消银行网点与保险公司合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9"/>
        </w:rPr>
        <w:t>作数量限制，推动保险公司与银行深度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3"/>
        </w:rPr>
        <w:t>合作。2024年全年，行业手续费及佣金支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" w:right="284" w:firstLine="31"/>
        <w:spacing w:before="45" w:line="250" w:lineRule="auto"/>
        <w:jc w:val="both"/>
        <w:rPr/>
      </w:pPr>
      <w:r>
        <w:rPr>
          <w:color w:val="231F20"/>
          <w:spacing w:val="4"/>
        </w:rPr>
        <w:t>出2785亿元，同比减少943亿元，降幅达 </w:t>
      </w:r>
      <w:r>
        <w:rPr>
          <w:color w:val="231F20"/>
          <w:spacing w:val="6"/>
        </w:rPr>
        <w:t>25.3%。三是引导行业根据实际经营结果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过“紧日子”，压降行业经营管理成本近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1"/>
        </w:rPr>
        <w:t>1000亿元。</w:t>
      </w:r>
    </w:p>
    <w:p>
      <w:pPr>
        <w:pStyle w:val="BodyText"/>
        <w:ind w:left="446"/>
        <w:spacing w:line="177" w:lineRule="auto"/>
        <w:rPr/>
      </w:pPr>
      <w:r>
        <w:rPr>
          <w:color w:val="231F20"/>
          <w:spacing w:val="-2"/>
        </w:rPr>
        <w:t>四、稳妥有序推进高风险机构处置</w:t>
      </w:r>
    </w:p>
    <w:p>
      <w:pPr>
        <w:pStyle w:val="BodyText"/>
        <w:ind w:right="284" w:firstLine="442"/>
        <w:spacing w:before="127" w:line="251" w:lineRule="auto"/>
        <w:rPr/>
      </w:pPr>
      <w:r>
        <w:rPr>
          <w:color w:val="231F20"/>
          <w:spacing w:val="4"/>
        </w:rPr>
        <w:t>强化央地协同，“一司一策”扎实推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进高风险机构风险处置工作。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一是坚持因 </w:t>
      </w:r>
      <w:r>
        <w:rPr>
          <w:color w:val="231F20"/>
          <w:spacing w:val="5"/>
        </w:rPr>
        <w:t>地制宜、分类施策。针对公司治理、资产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质量、负债结构、流动性等方面存在的突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出风险，提出综合处置方案。二是坚持化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解存量风险、控制增量风险。强化贴身监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管，加强风险监测分析，督促机构优化业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务结构，持续收敛风险，所有高风险机构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负债成本压降速度快于行业平均水平。综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合运用派驻工作组、撤换管理人员、机构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托管等方式，稳定经营局面。推动高风险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机构追赃挽损，处置风险资产，通过追回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占款、追加抵押、拉直债权等方式化解存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量风险。强化与公安、司法、网信等部门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配合，及时移送违法犯罪线索。三是落实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属地牵头处置责任，规范风险处置流程，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5"/>
        </w:rPr>
        <w:t>总结风险处置经验，为后续风险处置提供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7"/>
        </w:rPr>
        <w:t>遵循。</w:t>
      </w:r>
    </w:p>
    <w:p>
      <w:pPr>
        <w:spacing w:line="251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4" w:space="100"/>
            <w:col w:w="4165" w:space="0"/>
          </w:cols>
        </w:sectPr>
        <w:rPr/>
      </w:pPr>
    </w:p>
    <w:p>
      <w:pPr>
        <w:spacing w:line="401" w:lineRule="exact"/>
        <w:rPr/>
      </w:pPr>
      <w:r/>
    </w:p>
    <w:p>
      <w:pPr>
        <w:spacing w:line="401" w:lineRule="exact"/>
        <w:sectPr>
          <w:type w:val="continuous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481"/>
        <w:spacing w:before="62" w:line="174" w:lineRule="auto"/>
        <w:outlineLvl w:val="0"/>
        <w:rPr>
          <w:sz w:val="28"/>
          <w:szCs w:val="28"/>
        </w:rPr>
      </w:pPr>
      <w:bookmarkStart w:name="bookmark8" w:id="29"/>
      <w:bookmarkEnd w:id="29"/>
      <w:r>
        <w:rPr>
          <w:sz w:val="28"/>
          <w:szCs w:val="28"/>
          <w:color w:val="174B8B"/>
          <w:spacing w:val="-3"/>
        </w:rPr>
        <w:t>二、证券业</w:t>
      </w:r>
    </w:p>
    <w:p>
      <w:pPr>
        <w:pStyle w:val="BodyText"/>
        <w:ind w:left="417"/>
        <w:spacing w:before="427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（一）运行状况</w:t>
      </w:r>
    </w:p>
    <w:p>
      <w:pPr>
        <w:pStyle w:val="BodyText"/>
        <w:ind w:left="432"/>
        <w:spacing w:before="244" w:line="210" w:lineRule="exact"/>
        <w:rPr/>
      </w:pPr>
      <w:r>
        <w:rPr>
          <w:color w:val="231F20"/>
          <w:spacing w:val="23"/>
          <w:position w:val="-1"/>
        </w:rPr>
        <w:t>证券公司数量增加，资产规模持续增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4"/>
        <w:spacing w:before="48" w:line="242" w:lineRule="auto"/>
        <w:jc w:val="both"/>
        <w:rPr/>
      </w:pPr>
      <w:r>
        <w:rPr>
          <w:color w:val="231F20"/>
          <w:spacing w:val="11"/>
        </w:rPr>
        <w:t>长。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11"/>
        </w:rPr>
        <w:t>截至</w:t>
      </w:r>
      <w:r>
        <w:rPr>
          <w:rFonts w:ascii="Times New Roman" w:hAnsi="Times New Roman" w:eastAsia="Times New Roman" w:cs="Times New Roman"/>
          <w:color w:val="231F20"/>
          <w:spacing w:val="11"/>
        </w:rPr>
        <w:t>2024</w:t>
      </w:r>
      <w:r>
        <w:rPr>
          <w:color w:val="231F20"/>
          <w:spacing w:val="11"/>
        </w:rPr>
        <w:t>年末，全国共有证券公司</w:t>
      </w:r>
      <w:r>
        <w:rPr>
          <w:rFonts w:ascii="Times New Roman" w:hAnsi="Times New Roman" w:eastAsia="Times New Roman" w:cs="Times New Roman"/>
          <w:color w:val="231F20"/>
          <w:spacing w:val="11"/>
        </w:rPr>
        <w:t>150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14"/>
        </w:rPr>
        <w:t>家，较上年末增加</w:t>
      </w:r>
      <w:r>
        <w:rPr>
          <w:rFonts w:ascii="Times New Roman" w:hAnsi="Times New Roman" w:eastAsia="Times New Roman" w:cs="Times New Roman"/>
          <w:color w:val="231F20"/>
          <w:spacing w:val="14"/>
        </w:rPr>
        <w:t>4</w:t>
      </w:r>
      <w:r>
        <w:rPr>
          <w:color w:val="231F20"/>
          <w:spacing w:val="14"/>
        </w:rPr>
        <w:t>家，其中上市证券公司</w:t>
      </w:r>
      <w:r>
        <w:rPr>
          <w:color w:val="231F20"/>
          <w:spacing w:val="1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43</w:t>
      </w:r>
      <w:r>
        <w:rPr>
          <w:color w:val="231F20"/>
          <w:spacing w:val="8"/>
        </w:rPr>
        <w:t>家（不含集团、母公司上市）。证券公司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8"/>
        </w:rPr>
        <w:t>资产总额</w:t>
      </w:r>
      <w:r>
        <w:rPr>
          <w:rFonts w:ascii="Times New Roman" w:hAnsi="Times New Roman" w:eastAsia="Times New Roman" w:cs="Times New Roman"/>
          <w:color w:val="231F20"/>
          <w:spacing w:val="8"/>
        </w:rPr>
        <w:t>12.93</w:t>
      </w:r>
      <w:r>
        <w:rPr>
          <w:color w:val="231F20"/>
          <w:spacing w:val="8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8"/>
        </w:rPr>
        <w:t>9.30%</w:t>
      </w:r>
      <w:r>
        <w:rPr>
          <w:color w:val="231F20"/>
          <w:spacing w:val="8"/>
        </w:rPr>
        <w:t>；净</w:t>
      </w:r>
    </w:p>
    <w:p>
      <w:pPr>
        <w:spacing w:line="242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4" w:space="100"/>
            <w:col w:w="4165" w:space="0"/>
          </w:cols>
        </w:sectPr>
        <w:rPr/>
      </w:pPr>
    </w:p>
    <w:p>
      <w:pPr>
        <w:spacing w:before="155"/>
        <w:rPr/>
      </w:pPr>
      <w:r/>
    </w:p>
    <w:p>
      <w:pPr>
        <w:sectPr>
          <w:headerReference w:type="default" r:id="rId148"/>
          <w:pgSz w:w="11906" w:h="16158"/>
          <w:pgMar w:top="1384" w:right="1381" w:bottom="400" w:left="1703" w:header="1061" w:footer="0" w:gutter="0"/>
          <w:cols w:equalWidth="0" w:num="1">
            <w:col w:w="8822" w:space="0"/>
          </w:cols>
        </w:sectPr>
        <w:rPr/>
      </w:pPr>
    </w:p>
    <w:p>
      <w:pPr>
        <w:pStyle w:val="BodyText"/>
        <w:ind w:left="3" w:right="319" w:firstLine="3"/>
        <w:spacing w:before="39" w:line="259" w:lineRule="auto"/>
        <w:jc w:val="both"/>
        <w:rPr/>
      </w:pPr>
      <w:r>
        <w:rPr>
          <w:color w:val="231F20"/>
          <w:spacing w:val="3"/>
        </w:rPr>
        <w:t>资产总额</w:t>
      </w:r>
      <w:r>
        <w:rPr>
          <w:rFonts w:ascii="Times New Roman" w:hAnsi="Times New Roman" w:eastAsia="Times New Roman" w:cs="Times New Roman"/>
          <w:color w:val="231F20"/>
          <w:spacing w:val="3"/>
        </w:rPr>
        <w:t>3.13</w:t>
      </w:r>
      <w:r>
        <w:rPr>
          <w:color w:val="231F20"/>
          <w:spacing w:val="3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3"/>
        </w:rPr>
        <w:t>6.10%</w:t>
      </w:r>
      <w:r>
        <w:rPr>
          <w:color w:val="231F20"/>
          <w:spacing w:val="3"/>
        </w:rPr>
        <w:t>（见图 </w:t>
      </w:r>
      <w:r>
        <w:rPr>
          <w:rFonts w:ascii="Times New Roman" w:hAnsi="Times New Roman" w:eastAsia="Times New Roman" w:cs="Times New Roman"/>
          <w:color w:val="231F20"/>
          <w:spacing w:val="4"/>
        </w:rPr>
        <w:t>3</w:t>
      </w:r>
      <w:r>
        <w:rPr>
          <w:color w:val="231F20"/>
          <w:spacing w:val="4"/>
        </w:rPr>
        <w:t>-</w:t>
      </w:r>
      <w:r>
        <w:rPr>
          <w:rFonts w:ascii="Times New Roman" w:hAnsi="Times New Roman" w:eastAsia="Times New Roman" w:cs="Times New Roman"/>
          <w:color w:val="231F20"/>
          <w:spacing w:val="4"/>
        </w:rPr>
        <w:t>3</w:t>
      </w:r>
      <w:r>
        <w:rPr>
          <w:color w:val="231F20"/>
          <w:spacing w:val="4"/>
        </w:rPr>
        <w:t>）。证券公司客户交易结算资金余额（含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信用交易资金）</w:t>
      </w:r>
      <w:r>
        <w:rPr>
          <w:rFonts w:ascii="Times New Roman" w:hAnsi="Times New Roman" w:eastAsia="Times New Roman" w:cs="Times New Roman"/>
          <w:color w:val="231F20"/>
        </w:rPr>
        <w:t>2.58</w:t>
      </w:r>
      <w:r>
        <w:rPr>
          <w:color w:val="231F20"/>
        </w:rPr>
        <w:t>万亿元，受托管理资金本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金总额</w:t>
      </w:r>
      <w:r>
        <w:rPr>
          <w:rFonts w:ascii="Times New Roman" w:hAnsi="Times New Roman" w:eastAsia="Times New Roman" w:cs="Times New Roman"/>
          <w:color w:val="231F20"/>
          <w:spacing w:val="-3"/>
        </w:rPr>
        <w:t>9.17</w:t>
      </w:r>
      <w:r>
        <w:rPr>
          <w:color w:val="231F20"/>
          <w:spacing w:val="-3"/>
        </w:rPr>
        <w:t>万亿元。</w:t>
      </w:r>
    </w:p>
    <w:p>
      <w:pPr>
        <w:pStyle w:val="BodyText"/>
        <w:ind w:left="580"/>
        <w:spacing w:before="220" w:line="132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231F20"/>
          <w:position w:val="1"/>
        </w:rPr>
        <w:drawing>
          <wp:inline distT="0" distB="0" distL="0" distR="0">
            <wp:extent cx="154838" cy="50355"/>
            <wp:effectExtent l="0" t="0" r="0" b="0"/>
            <wp:docPr id="292" name="IM 292"/>
            <wp:cNvGraphicFramePr/>
            <a:graphic>
              <a:graphicData uri="http://schemas.openxmlformats.org/drawingml/2006/picture">
                <pic:pic>
                  <pic:nvPicPr>
                    <pic:cNvPr id="292" name="IM 292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838" cy="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8"/>
          <w:w w:val="102"/>
        </w:rPr>
        <w:t xml:space="preserve"> </w:t>
      </w:r>
      <w:r>
        <w:rPr>
          <w:sz w:val="13"/>
          <w:szCs w:val="13"/>
          <w:color w:val="231F20"/>
          <w:spacing w:val="4"/>
        </w:rPr>
        <w:t>净资产</w:t>
      </w:r>
      <w:r>
        <w:rPr>
          <w:sz w:val="13"/>
          <w:szCs w:val="13"/>
          <w:color w:val="231F20"/>
          <w:spacing w:val="4"/>
        </w:rPr>
        <w:t xml:space="preserve">  </w:t>
      </w:r>
      <w:r>
        <w:rPr>
          <w:sz w:val="13"/>
          <w:szCs w:val="13"/>
          <w:color w:val="231F20"/>
          <w:spacing w:val="4"/>
        </w:rPr>
        <w:t>(左轴</w:t>
      </w:r>
      <w:r>
        <w:rPr>
          <w:sz w:val="13"/>
          <w:szCs w:val="13"/>
          <w:color w:val="231F20"/>
          <w:spacing w:val="16"/>
          <w:w w:val="103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 xml:space="preserve">        </w:t>
      </w:r>
      <w:r>
        <w:rPr>
          <w:rFonts w:ascii="DejaVu Sans" w:hAnsi="DejaVu Sans" w:eastAsia="DejaVu Sans" w:cs="DejaVu Sans"/>
          <w:sz w:val="13"/>
          <w:szCs w:val="13"/>
          <w:color w:val="EE4256"/>
          <w:spacing w:val="4"/>
        </w:rPr>
        <w:t>——</w:t>
      </w:r>
      <w:r>
        <w:rPr>
          <w:rFonts w:ascii="DejaVu Sans" w:hAnsi="DejaVu Sans" w:eastAsia="DejaVu Sans" w:cs="DejaVu Sans"/>
          <w:sz w:val="13"/>
          <w:szCs w:val="13"/>
          <w:color w:val="EE4256"/>
          <w:spacing w:val="4"/>
        </w:rPr>
        <w:t xml:space="preserve"> </w:t>
      </w:r>
      <w:r>
        <w:rPr>
          <w:sz w:val="13"/>
          <w:szCs w:val="13"/>
          <w:color w:val="231F20"/>
          <w:spacing w:val="4"/>
        </w:rPr>
        <w:t>净资产增幅</w:t>
      </w:r>
      <w:r>
        <w:rPr>
          <w:sz w:val="13"/>
          <w:szCs w:val="13"/>
          <w:color w:val="231F20"/>
          <w:spacing w:val="4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 xml:space="preserve"> </w:t>
      </w:r>
      <w:r>
        <w:rPr>
          <w:sz w:val="13"/>
          <w:szCs w:val="13"/>
          <w:color w:val="231F20"/>
          <w:spacing w:val="4"/>
        </w:rPr>
        <w:t>右轴</w:t>
      </w:r>
      <w:r>
        <w:rPr>
          <w:sz w:val="13"/>
          <w:szCs w:val="13"/>
          <w:color w:val="231F20"/>
          <w:spacing w:val="23"/>
          <w:w w:val="102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>)</w:t>
      </w:r>
    </w:p>
    <w:p>
      <w:pPr>
        <w:ind w:firstLine="57"/>
        <w:spacing w:before="57" w:line="2364" w:lineRule="exact"/>
        <w:rPr/>
      </w:pPr>
      <w:r>
        <w:drawing>
          <wp:anchor distT="0" distB="0" distL="0" distR="0" simplePos="0" relativeHeight="251995136" behindDoc="1" locked="0" layoutInCell="1" allowOverlap="1">
            <wp:simplePos x="0" y="0"/>
            <wp:positionH relativeFrom="column">
              <wp:posOffset>346908</wp:posOffset>
            </wp:positionH>
            <wp:positionV relativeFrom="paragraph">
              <wp:posOffset>1096336</wp:posOffset>
            </wp:positionV>
            <wp:extent cx="62801" cy="322745"/>
            <wp:effectExtent l="0" t="0" r="0" b="0"/>
            <wp:wrapNone/>
            <wp:docPr id="294" name="IM 294"/>
            <wp:cNvGraphicFramePr/>
            <a:graphic>
              <a:graphicData uri="http://schemas.openxmlformats.org/drawingml/2006/picture">
                <pic:pic>
                  <pic:nvPicPr>
                    <pic:cNvPr id="294" name="IM 294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801" cy="32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4896" behindDoc="1" locked="0" layoutInCell="1" allowOverlap="1">
            <wp:simplePos x="0" y="0"/>
            <wp:positionH relativeFrom="column">
              <wp:posOffset>547225</wp:posOffset>
            </wp:positionH>
            <wp:positionV relativeFrom="paragraph">
              <wp:posOffset>910154</wp:posOffset>
            </wp:positionV>
            <wp:extent cx="62788" cy="508927"/>
            <wp:effectExtent l="0" t="0" r="0" b="0"/>
            <wp:wrapNone/>
            <wp:docPr id="296" name="IM 296"/>
            <wp:cNvGraphicFramePr/>
            <a:graphic>
              <a:graphicData uri="http://schemas.openxmlformats.org/drawingml/2006/picture">
                <pic:pic>
                  <pic:nvPicPr>
                    <pic:cNvPr id="296" name="IM 29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88" cy="508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5920" behindDoc="1" locked="0" layoutInCell="1" allowOverlap="1">
            <wp:simplePos x="0" y="0"/>
            <wp:positionH relativeFrom="column">
              <wp:posOffset>747542</wp:posOffset>
            </wp:positionH>
            <wp:positionV relativeFrom="paragraph">
              <wp:posOffset>844076</wp:posOffset>
            </wp:positionV>
            <wp:extent cx="62788" cy="574992"/>
            <wp:effectExtent l="0" t="0" r="0" b="0"/>
            <wp:wrapNone/>
            <wp:docPr id="298" name="IM 298"/>
            <wp:cNvGraphicFramePr/>
            <a:graphic>
              <a:graphicData uri="http://schemas.openxmlformats.org/drawingml/2006/picture">
                <pic:pic>
                  <pic:nvPicPr>
                    <pic:cNvPr id="298" name="IM 298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88" cy="574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4112" behindDoc="1" locked="0" layoutInCell="1" allowOverlap="1">
            <wp:simplePos x="0" y="0"/>
            <wp:positionH relativeFrom="column">
              <wp:posOffset>947846</wp:posOffset>
            </wp:positionH>
            <wp:positionV relativeFrom="paragraph">
              <wp:posOffset>770454</wp:posOffset>
            </wp:positionV>
            <wp:extent cx="62788" cy="648627"/>
            <wp:effectExtent l="0" t="0" r="0" b="0"/>
            <wp:wrapNone/>
            <wp:docPr id="300" name="IM 300"/>
            <wp:cNvGraphicFramePr/>
            <a:graphic>
              <a:graphicData uri="http://schemas.openxmlformats.org/drawingml/2006/picture">
                <pic:pic>
                  <pic:nvPicPr>
                    <pic:cNvPr id="300" name="IM 30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88" cy="648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1040" behindDoc="1" locked="0" layoutInCell="1" allowOverlap="1">
            <wp:simplePos x="0" y="0"/>
            <wp:positionH relativeFrom="column">
              <wp:posOffset>1148163</wp:posOffset>
            </wp:positionH>
            <wp:positionV relativeFrom="paragraph">
              <wp:posOffset>756420</wp:posOffset>
            </wp:positionV>
            <wp:extent cx="62788" cy="662647"/>
            <wp:effectExtent l="0" t="0" r="0" b="0"/>
            <wp:wrapNone/>
            <wp:docPr id="302" name="IM 302"/>
            <wp:cNvGraphicFramePr/>
            <a:graphic>
              <a:graphicData uri="http://schemas.openxmlformats.org/drawingml/2006/picture">
                <pic:pic>
                  <pic:nvPicPr>
                    <pic:cNvPr id="302" name="IM 302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88" cy="662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7968" behindDoc="1" locked="0" layoutInCell="1" allowOverlap="1">
            <wp:simplePos x="0" y="0"/>
            <wp:positionH relativeFrom="column">
              <wp:posOffset>1348481</wp:posOffset>
            </wp:positionH>
            <wp:positionV relativeFrom="paragraph">
              <wp:posOffset>710179</wp:posOffset>
            </wp:positionV>
            <wp:extent cx="62788" cy="708888"/>
            <wp:effectExtent l="0" t="0" r="0" b="0"/>
            <wp:wrapNone/>
            <wp:docPr id="304" name="IM 304"/>
            <wp:cNvGraphicFramePr/>
            <a:graphic>
              <a:graphicData uri="http://schemas.openxmlformats.org/drawingml/2006/picture">
                <pic:pic>
                  <pic:nvPicPr>
                    <pic:cNvPr id="304" name="IM 304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2788" cy="7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0016" behindDoc="1" locked="0" layoutInCell="1" allowOverlap="1">
            <wp:simplePos x="0" y="0"/>
            <wp:positionH relativeFrom="column">
              <wp:posOffset>1548798</wp:posOffset>
            </wp:positionH>
            <wp:positionV relativeFrom="paragraph">
              <wp:posOffset>321674</wp:posOffset>
            </wp:positionV>
            <wp:extent cx="864044" cy="1097407"/>
            <wp:effectExtent l="0" t="0" r="0" b="0"/>
            <wp:wrapNone/>
            <wp:docPr id="306" name="IM 306"/>
            <wp:cNvGraphicFramePr/>
            <a:graphic>
              <a:graphicData uri="http://schemas.openxmlformats.org/drawingml/2006/picture">
                <pic:pic>
                  <pic:nvPicPr>
                    <pic:cNvPr id="306" name="IM 30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64044" cy="1097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7"/>
        </w:rPr>
        <w:drawing>
          <wp:inline distT="0" distB="0" distL="0" distR="0">
            <wp:extent cx="2569282" cy="1500808"/>
            <wp:effectExtent l="0" t="0" r="0" b="0"/>
            <wp:docPr id="308" name="IM 308"/>
            <wp:cNvGraphicFramePr/>
            <a:graphic>
              <a:graphicData uri="http://schemas.openxmlformats.org/drawingml/2006/picture">
                <pic:pic>
                  <pic:nvPicPr>
                    <pic:cNvPr id="308" name="IM 30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9282" cy="150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97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图3-3    2014—2024年证券公司净资产变化情况</w:t>
      </w:r>
    </w:p>
    <w:p>
      <w:pPr>
        <w:pStyle w:val="BodyText"/>
        <w:ind w:left="993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（数据来源：中国证监会）</w:t>
      </w:r>
    </w:p>
    <w:p>
      <w:pPr>
        <w:pStyle w:val="BodyText"/>
        <w:ind w:left="2" w:right="316" w:firstLine="423"/>
        <w:spacing w:before="312" w:line="249" w:lineRule="auto"/>
        <w:jc w:val="both"/>
        <w:rPr/>
      </w:pPr>
      <w:r>
        <w:rPr>
          <w:color w:val="231F20"/>
          <w:spacing w:val="9"/>
        </w:rPr>
        <w:t>公募基金管理资产规模增长，私募基金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1"/>
        </w:rPr>
        <w:t>管理人数量和管理资产规模下降。   截至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rFonts w:ascii="Times New Roman" w:hAnsi="Times New Roman" w:eastAsia="Times New Roman" w:cs="Times New Roman"/>
          <w:color w:val="231F20"/>
          <w:spacing w:val="5"/>
        </w:rPr>
        <w:t xml:space="preserve"> </w:t>
      </w:r>
      <w:r>
        <w:rPr>
          <w:color w:val="231F20"/>
          <w:spacing w:val="9"/>
        </w:rPr>
        <w:t>年末，全国公募证券投资基金资产管理规模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32.83</w:t>
      </w:r>
      <w:r>
        <w:rPr>
          <w:color w:val="231F20"/>
          <w:spacing w:val="4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18.95%</w:t>
      </w:r>
      <w:r>
        <w:rPr>
          <w:color w:val="231F20"/>
          <w:spacing w:val="3"/>
        </w:rPr>
        <w:t>。公募基金管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理机构</w:t>
      </w:r>
      <w:r>
        <w:rPr>
          <w:rFonts w:ascii="Times New Roman" w:hAnsi="Times New Roman" w:eastAsia="Times New Roman" w:cs="Times New Roman"/>
          <w:color w:val="231F20"/>
          <w:spacing w:val="8"/>
        </w:rPr>
        <w:t>163</w:t>
      </w:r>
      <w:r>
        <w:rPr>
          <w:color w:val="231F20"/>
          <w:spacing w:val="8"/>
        </w:rPr>
        <w:t>家，较上年末增加</w:t>
      </w:r>
      <w:r>
        <w:rPr>
          <w:rFonts w:ascii="Times New Roman" w:hAnsi="Times New Roman" w:eastAsia="Times New Roman" w:cs="Times New Roman"/>
          <w:color w:val="231F20"/>
          <w:spacing w:val="8"/>
        </w:rPr>
        <w:t>6</w:t>
      </w:r>
      <w:r>
        <w:rPr>
          <w:color w:val="231F20"/>
          <w:spacing w:val="8"/>
        </w:rPr>
        <w:t>家。其中，公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3"/>
        </w:rPr>
        <w:t>募基金公司</w:t>
      </w:r>
      <w:r>
        <w:rPr>
          <w:rFonts w:ascii="Times New Roman" w:hAnsi="Times New Roman" w:eastAsia="Times New Roman" w:cs="Times New Roman"/>
          <w:color w:val="231F20"/>
          <w:spacing w:val="13"/>
        </w:rPr>
        <w:t>148</w:t>
      </w:r>
      <w:r>
        <w:rPr>
          <w:color w:val="231F20"/>
          <w:spacing w:val="13"/>
        </w:rPr>
        <w:t>家，其他公募基金管理人</w:t>
      </w:r>
      <w:r>
        <w:rPr>
          <w:rFonts w:ascii="Times New Roman" w:hAnsi="Times New Roman" w:eastAsia="Times New Roman" w:cs="Times New Roman"/>
          <w:color w:val="231F20"/>
          <w:spacing w:val="13"/>
        </w:rPr>
        <w:t>15</w:t>
      </w:r>
      <w:r>
        <w:rPr>
          <w:rFonts w:ascii="Times New Roman" w:hAnsi="Times New Roman" w:eastAsia="Times New Roman" w:cs="Times New Roman"/>
          <w:color w:val="231F20"/>
          <w:spacing w:val="2"/>
        </w:rPr>
        <w:t xml:space="preserve"> </w:t>
      </w:r>
      <w:r>
        <w:rPr>
          <w:color w:val="231F20"/>
          <w:spacing w:val="13"/>
        </w:rPr>
        <w:t>家。存续私募基金管理人</w:t>
      </w:r>
      <w:r>
        <w:rPr>
          <w:rFonts w:ascii="Times New Roman" w:hAnsi="Times New Roman" w:eastAsia="Times New Roman" w:cs="Times New Roman"/>
          <w:color w:val="231F20"/>
          <w:spacing w:val="13"/>
        </w:rPr>
        <w:t>20289</w:t>
      </w:r>
      <w:r>
        <w:rPr>
          <w:color w:val="231F20"/>
          <w:spacing w:val="13"/>
        </w:rPr>
        <w:t>家，同比下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1"/>
        </w:rPr>
        <w:t>降</w:t>
      </w:r>
      <w:r>
        <w:rPr>
          <w:rFonts w:ascii="Times New Roman" w:hAnsi="Times New Roman" w:eastAsia="Times New Roman" w:cs="Times New Roman"/>
          <w:color w:val="231F20"/>
          <w:spacing w:val="11"/>
        </w:rPr>
        <w:t>6.18%</w:t>
      </w:r>
      <w:r>
        <w:rPr>
          <w:color w:val="231F20"/>
          <w:spacing w:val="11"/>
        </w:rPr>
        <w:t>；管理私募基金数量和规模分别为</w:t>
      </w:r>
      <w:r>
        <w:rPr>
          <w:color w:val="231F20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144155</w:t>
      </w:r>
      <w:r>
        <w:rPr>
          <w:color w:val="231F20"/>
        </w:rPr>
        <w:t>只和</w:t>
      </w:r>
      <w:r>
        <w:rPr>
          <w:rFonts w:ascii="Times New Roman" w:hAnsi="Times New Roman" w:eastAsia="Times New Roman" w:cs="Times New Roman"/>
          <w:color w:val="231F20"/>
        </w:rPr>
        <w:t>19.91</w:t>
      </w:r>
      <w:r>
        <w:rPr>
          <w:color w:val="231F20"/>
        </w:rPr>
        <w:t>万亿元，同比分别</w:t>
      </w:r>
      <w:r>
        <w:rPr>
          <w:color w:val="231F20"/>
          <w:spacing w:val="-1"/>
        </w:rPr>
        <w:t>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5.83%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-1"/>
        </w:rPr>
        <w:t>和</w:t>
      </w:r>
      <w:r>
        <w:rPr>
          <w:rFonts w:ascii="Times New Roman" w:hAnsi="Times New Roman" w:eastAsia="Times New Roman" w:cs="Times New Roman"/>
          <w:color w:val="231F20"/>
          <w:spacing w:val="-1"/>
        </w:rPr>
        <w:t>2.96%</w:t>
      </w:r>
      <w:r>
        <w:rPr>
          <w:color w:val="231F20"/>
          <w:spacing w:val="-1"/>
        </w:rPr>
        <w:t>。</w:t>
      </w:r>
    </w:p>
    <w:p>
      <w:pPr>
        <w:pStyle w:val="BodyText"/>
        <w:ind w:left="4" w:right="316" w:firstLine="427"/>
        <w:spacing w:before="4" w:line="249" w:lineRule="auto"/>
        <w:jc w:val="both"/>
        <w:rPr/>
      </w:pPr>
      <w:r>
        <w:rPr>
          <w:color w:val="231F20"/>
          <w:spacing w:val="23"/>
        </w:rPr>
        <w:t>期货公司数量保持平稳，资产规模上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1"/>
        </w:rPr>
        <w:t>升。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1"/>
        </w:rPr>
        <w:t>截至</w:t>
      </w:r>
      <w:r>
        <w:rPr>
          <w:rFonts w:ascii="Times New Roman" w:hAnsi="Times New Roman" w:eastAsia="Times New Roman" w:cs="Times New Roman"/>
          <w:color w:val="231F20"/>
          <w:spacing w:val="11"/>
        </w:rPr>
        <w:t>2024</w:t>
      </w:r>
      <w:r>
        <w:rPr>
          <w:color w:val="231F20"/>
          <w:spacing w:val="11"/>
        </w:rPr>
        <w:t>年末，全国共有</w:t>
      </w:r>
      <w:r>
        <w:rPr>
          <w:rFonts w:ascii="Times New Roman" w:hAnsi="Times New Roman" w:eastAsia="Times New Roman" w:cs="Times New Roman"/>
          <w:color w:val="231F20"/>
          <w:spacing w:val="11"/>
        </w:rPr>
        <w:t>151</w:t>
      </w:r>
      <w:r>
        <w:rPr>
          <w:color w:val="231F20"/>
          <w:spacing w:val="11"/>
        </w:rPr>
        <w:t>家期货公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司，较上年末增加</w:t>
      </w:r>
      <w:r>
        <w:rPr>
          <w:rFonts w:ascii="Times New Roman" w:hAnsi="Times New Roman" w:eastAsia="Times New Roman" w:cs="Times New Roman"/>
          <w:color w:val="231F20"/>
          <w:spacing w:val="5"/>
        </w:rPr>
        <w:t>1</w:t>
      </w:r>
      <w:r>
        <w:rPr>
          <w:color w:val="231F20"/>
          <w:spacing w:val="5"/>
        </w:rPr>
        <w:t>家；资产规模达</w:t>
      </w:r>
      <w:r>
        <w:rPr>
          <w:rFonts w:ascii="Times New Roman" w:hAnsi="Times New Roman" w:eastAsia="Times New Roman" w:cs="Times New Roman"/>
          <w:color w:val="231F20"/>
          <w:spacing w:val="5"/>
        </w:rPr>
        <w:t>1.78</w:t>
      </w:r>
      <w:r>
        <w:rPr>
          <w:color w:val="231F20"/>
          <w:spacing w:val="5"/>
        </w:rPr>
        <w:t>万亿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元，同比增长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7.88%</w:t>
      </w:r>
      <w:r>
        <w:rPr>
          <w:color w:val="231F20"/>
          <w:spacing w:val="-1"/>
        </w:rPr>
        <w:t>。</w:t>
      </w:r>
    </w:p>
    <w:p>
      <w:pPr>
        <w:pStyle w:val="BodyText"/>
        <w:ind w:left="2" w:right="317" w:firstLine="426"/>
        <w:spacing w:before="1" w:line="208" w:lineRule="auto"/>
        <w:rPr>
          <w:rFonts w:ascii="Times New Roman" w:hAnsi="Times New Roman" w:eastAsia="Times New Roman" w:cs="Times New Roman"/>
        </w:rPr>
      </w:pPr>
      <w:r>
        <w:rPr>
          <w:color w:val="231F20"/>
          <w:spacing w:val="21"/>
        </w:rPr>
        <w:t>上市公司数量和流通市值稳步增长。</w:t>
      </w:r>
      <w:r>
        <w:rPr>
          <w:color w:val="231F20"/>
          <w:spacing w:val="3"/>
        </w:rPr>
        <w:t xml:space="preserve">  </w:t>
      </w:r>
      <w:r>
        <w:rPr>
          <w:color w:val="231F20"/>
          <w:spacing w:val="8"/>
        </w:rPr>
        <w:t>截至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年末，沪深北交易所共有上市公司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5392</w:t>
      </w:r>
      <w:r>
        <w:rPr>
          <w:color w:val="231F20"/>
          <w:spacing w:val="12"/>
        </w:rPr>
        <w:t>家，全年新增上市公司</w:t>
      </w:r>
      <w:r>
        <w:rPr>
          <w:rFonts w:ascii="Times New Roman" w:hAnsi="Times New Roman" w:eastAsia="Times New Roman" w:cs="Times New Roman"/>
          <w:color w:val="231F20"/>
          <w:spacing w:val="12"/>
        </w:rPr>
        <w:t>100</w:t>
      </w:r>
      <w:r>
        <w:rPr>
          <w:color w:val="231F20"/>
          <w:spacing w:val="12"/>
        </w:rPr>
        <w:t>家，退市</w:t>
      </w:r>
      <w:r>
        <w:rPr>
          <w:rFonts w:ascii="Times New Roman" w:hAnsi="Times New Roman" w:eastAsia="Times New Roman" w:cs="Times New Roman"/>
          <w:color w:val="231F20"/>
          <w:spacing w:val="12"/>
        </w:rPr>
        <w:t>54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4" w:right="36" w:firstLine="4"/>
        <w:spacing w:before="38" w:line="258" w:lineRule="auto"/>
        <w:rPr/>
      </w:pPr>
      <w:r>
        <w:rPr>
          <w:color w:val="231F20"/>
          <w:spacing w:val="3"/>
        </w:rPr>
        <w:t>家。总市值</w:t>
      </w:r>
      <w:r>
        <w:rPr>
          <w:rFonts w:ascii="Times New Roman" w:hAnsi="Times New Roman" w:eastAsia="Times New Roman" w:cs="Times New Roman"/>
          <w:color w:val="231F20"/>
          <w:spacing w:val="3"/>
        </w:rPr>
        <w:t>86.01</w:t>
      </w:r>
      <w:r>
        <w:rPr>
          <w:color w:val="231F20"/>
          <w:spacing w:val="3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3"/>
        </w:rPr>
        <w:t>10.61%</w:t>
      </w:r>
      <w:r>
        <w:rPr>
          <w:color w:val="231F20"/>
          <w:spacing w:val="3"/>
        </w:rPr>
        <w:t>；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8"/>
        </w:rPr>
        <w:t>流通市值</w:t>
      </w:r>
      <w:r>
        <w:rPr>
          <w:rFonts w:ascii="Times New Roman" w:hAnsi="Times New Roman" w:eastAsia="Times New Roman" w:cs="Times New Roman"/>
          <w:color w:val="231F20"/>
          <w:spacing w:val="18"/>
        </w:rPr>
        <w:t>77.71</w:t>
      </w:r>
      <w:r>
        <w:rPr>
          <w:rFonts w:ascii="Times New Roman" w:hAnsi="Times New Roman" w:eastAsia="Times New Roman" w:cs="Times New Roman"/>
          <w:color w:val="231F20"/>
          <w:spacing w:val="-22"/>
        </w:rPr>
        <w:t xml:space="preserve"> </w:t>
      </w:r>
      <w:r>
        <w:rPr>
          <w:color w:val="231F20"/>
          <w:spacing w:val="18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18"/>
        </w:rPr>
        <w:t>14</w:t>
      </w:r>
      <w:r>
        <w:rPr>
          <w:rFonts w:ascii="Times New Roman" w:hAnsi="Times New Roman" w:eastAsia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8"/>
        </w:rPr>
        <w:t>.</w:t>
      </w:r>
      <w:r>
        <w:rPr>
          <w:rFonts w:ascii="Times New Roman" w:hAnsi="Times New Roman" w:eastAsia="Times New Roman" w:cs="Times New Roman"/>
          <w:color w:val="231F20"/>
          <w:spacing w:val="-1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7"/>
        </w:rPr>
        <w:t>85%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14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14"/>
        </w:rPr>
        <w:t>3</w:t>
      </w:r>
      <w:r>
        <w:rPr>
          <w:color w:val="231F20"/>
          <w:spacing w:val="14"/>
        </w:rPr>
        <w:t>-</w:t>
      </w:r>
      <w:r>
        <w:rPr>
          <w:rFonts w:ascii="Times New Roman" w:hAnsi="Times New Roman" w:eastAsia="Times New Roman" w:cs="Times New Roman"/>
          <w:color w:val="231F20"/>
          <w:spacing w:val="14"/>
        </w:rPr>
        <w:t>4</w:t>
      </w:r>
      <w:r>
        <w:rPr>
          <w:color w:val="231F20"/>
          <w:spacing w:val="19"/>
        </w:rPr>
        <w:t>）；</w:t>
      </w:r>
      <w:r>
        <w:rPr>
          <w:color w:val="231F20"/>
          <w:spacing w:val="14"/>
        </w:rPr>
        <w:t>流通市值占总市值的比例为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2"/>
        </w:rPr>
        <w:t>90.38%</w:t>
      </w:r>
      <w:r>
        <w:rPr>
          <w:color w:val="231F20"/>
          <w:spacing w:val="-2"/>
        </w:rPr>
        <w:t>，同比上升</w:t>
      </w:r>
      <w:r>
        <w:rPr>
          <w:rFonts w:ascii="Times New Roman" w:hAnsi="Times New Roman" w:eastAsia="Times New Roman" w:cs="Times New Roman"/>
          <w:color w:val="231F20"/>
          <w:spacing w:val="-2"/>
        </w:rPr>
        <w:t>3.37</w:t>
      </w:r>
      <w:r>
        <w:rPr>
          <w:color w:val="231F20"/>
          <w:spacing w:val="-2"/>
        </w:rPr>
        <w:t>个百分点。</w:t>
      </w:r>
    </w:p>
    <w:p>
      <w:pPr>
        <w:pStyle w:val="BodyText"/>
        <w:spacing w:before="282" w:line="134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231F20"/>
          <w:position w:val="2"/>
        </w:rPr>
        <w:drawing>
          <wp:inline distT="0" distB="0" distL="0" distR="0">
            <wp:extent cx="115658" cy="33858"/>
            <wp:effectExtent l="0" t="0" r="0" b="0"/>
            <wp:docPr id="310" name="IM 310"/>
            <wp:cNvGraphicFramePr/>
            <a:graphic>
              <a:graphicData uri="http://schemas.openxmlformats.org/drawingml/2006/picture">
                <pic:pic>
                  <pic:nvPicPr>
                    <pic:cNvPr id="310" name="IM 31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658" cy="3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4"/>
        </w:rPr>
        <w:t xml:space="preserve"> </w:t>
      </w:r>
      <w:r>
        <w:rPr>
          <w:sz w:val="13"/>
          <w:szCs w:val="13"/>
          <w:color w:val="231F20"/>
          <w:spacing w:val="10"/>
        </w:rPr>
        <w:t>上市公司总数</w:t>
      </w:r>
      <w:r>
        <w:rPr>
          <w:sz w:val="13"/>
          <w:szCs w:val="13"/>
          <w:color w:val="231F20"/>
          <w:spacing w:val="10"/>
        </w:rPr>
        <w:t xml:space="preserve">  </w:t>
      </w:r>
      <w:r>
        <w:rPr>
          <w:sz w:val="13"/>
          <w:szCs w:val="13"/>
          <w:color w:val="231F20"/>
          <w:spacing w:val="10"/>
        </w:rPr>
        <w:t>(左轴</w:t>
      </w:r>
      <w:r>
        <w:rPr>
          <w:sz w:val="13"/>
          <w:szCs w:val="13"/>
          <w:color w:val="231F20"/>
          <w:spacing w:val="17"/>
          <w:w w:val="102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0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0"/>
        </w:rPr>
        <w:t xml:space="preserve">   </w:t>
      </w:r>
      <w:r>
        <w:rPr>
          <w:rFonts w:ascii="DejaVu Sans" w:hAnsi="DejaVu Sans" w:eastAsia="DejaVu Sans" w:cs="DejaVu Sans"/>
          <w:sz w:val="13"/>
          <w:szCs w:val="13"/>
          <w:color w:val="354A66"/>
          <w:spacing w:val="10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354A66"/>
          <w:spacing w:val="-7"/>
        </w:rPr>
        <w:t xml:space="preserve"> </w:t>
      </w:r>
      <w:r>
        <w:rPr>
          <w:sz w:val="13"/>
          <w:szCs w:val="13"/>
          <w:color w:val="231F20"/>
          <w:spacing w:val="10"/>
        </w:rPr>
        <w:t>总市值</w:t>
      </w:r>
      <w:r>
        <w:rPr>
          <w:sz w:val="13"/>
          <w:szCs w:val="13"/>
          <w:color w:val="231F20"/>
          <w:spacing w:val="10"/>
        </w:rPr>
        <w:t xml:space="preserve">  </w:t>
      </w:r>
      <w:r>
        <w:rPr>
          <w:sz w:val="13"/>
          <w:szCs w:val="13"/>
          <w:color w:val="231F20"/>
          <w:spacing w:val="10"/>
        </w:rPr>
        <w:t>(右轴</w:t>
      </w:r>
      <w:r>
        <w:rPr>
          <w:sz w:val="13"/>
          <w:szCs w:val="13"/>
          <w:color w:val="231F20"/>
          <w:spacing w:val="15"/>
          <w:w w:val="102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0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0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6B2B33"/>
          <w:spacing w:val="10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6B2B33"/>
          <w:spacing w:val="10"/>
        </w:rPr>
        <w:t xml:space="preserve"> </w:t>
      </w:r>
      <w:r>
        <w:rPr>
          <w:sz w:val="13"/>
          <w:szCs w:val="13"/>
          <w:color w:val="231F20"/>
          <w:spacing w:val="10"/>
        </w:rPr>
        <w:t>流通市值</w:t>
      </w:r>
      <w:r>
        <w:rPr>
          <w:sz w:val="13"/>
          <w:szCs w:val="13"/>
          <w:color w:val="231F20"/>
          <w:spacing w:val="10"/>
        </w:rPr>
        <w:t xml:space="preserve">  </w:t>
      </w:r>
      <w:r>
        <w:rPr>
          <w:sz w:val="13"/>
          <w:szCs w:val="13"/>
          <w:color w:val="231F20"/>
          <w:spacing w:val="10"/>
        </w:rPr>
        <w:t>(右轴</w:t>
      </w:r>
      <w:r>
        <w:rPr>
          <w:sz w:val="13"/>
          <w:szCs w:val="13"/>
          <w:color w:val="231F20"/>
          <w:spacing w:val="14"/>
          <w:w w:val="102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0"/>
        </w:rPr>
        <w:t>)</w:t>
      </w:r>
    </w:p>
    <w:p>
      <w:pPr>
        <w:pStyle w:val="BodyText"/>
        <w:spacing w:before="60" w:line="135" w:lineRule="exact"/>
        <w:jc w:val="right"/>
        <w:rPr>
          <w:sz w:val="13"/>
          <w:szCs w:val="13"/>
        </w:rPr>
      </w:pPr>
      <w:r>
        <w:rPr>
          <w:sz w:val="13"/>
          <w:szCs w:val="13"/>
          <w:color w:val="231F20"/>
          <w:spacing w:val="6"/>
          <w:position w:val="-1"/>
        </w:rPr>
        <w:t>家</w:t>
      </w:r>
      <w:r>
        <w:rPr>
          <w:sz w:val="13"/>
          <w:szCs w:val="13"/>
          <w:color w:val="231F20"/>
          <w:spacing w:val="1"/>
          <w:position w:val="-1"/>
        </w:rPr>
        <w:t xml:space="preserve">                    </w:t>
      </w:r>
      <w:r>
        <w:rPr>
          <w:sz w:val="13"/>
          <w:szCs w:val="13"/>
          <w:color w:val="231F20"/>
          <w:position w:val="-1"/>
        </w:rPr>
        <w:t xml:space="preserve">                                                                                                      </w:t>
      </w:r>
      <w:r>
        <w:rPr>
          <w:sz w:val="13"/>
          <w:szCs w:val="13"/>
          <w:color w:val="231E20"/>
          <w:spacing w:val="6"/>
          <w:position w:val="-1"/>
        </w:rPr>
        <w:t>万亿元</w:t>
      </w:r>
    </w:p>
    <w:p>
      <w:pPr>
        <w:ind w:firstLine="57"/>
        <w:spacing w:before="72" w:line="2134" w:lineRule="exact"/>
        <w:rPr/>
      </w:pPr>
      <w:r>
        <w:drawing>
          <wp:anchor distT="0" distB="0" distL="0" distR="0" simplePos="0" relativeHeight="251988992" behindDoc="1" locked="0" layoutInCell="1" allowOverlap="1">
            <wp:simplePos x="0" y="0"/>
            <wp:positionH relativeFrom="column">
              <wp:posOffset>305346</wp:posOffset>
            </wp:positionH>
            <wp:positionV relativeFrom="paragraph">
              <wp:posOffset>767322</wp:posOffset>
            </wp:positionV>
            <wp:extent cx="63436" cy="523100"/>
            <wp:effectExtent l="0" t="0" r="0" b="0"/>
            <wp:wrapNone/>
            <wp:docPr id="312" name="IM 312"/>
            <wp:cNvGraphicFramePr/>
            <a:graphic>
              <a:graphicData uri="http://schemas.openxmlformats.org/drawingml/2006/picture">
                <pic:pic>
                  <pic:nvPicPr>
                    <pic:cNvPr id="312" name="IM 312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36" cy="52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2064" behindDoc="1" locked="0" layoutInCell="1" allowOverlap="1">
            <wp:simplePos x="0" y="0"/>
            <wp:positionH relativeFrom="column">
              <wp:posOffset>507732</wp:posOffset>
            </wp:positionH>
            <wp:positionV relativeFrom="paragraph">
              <wp:posOffset>724472</wp:posOffset>
            </wp:positionV>
            <wp:extent cx="63436" cy="565949"/>
            <wp:effectExtent l="0" t="0" r="0" b="0"/>
            <wp:wrapNone/>
            <wp:docPr id="314" name="IM 314"/>
            <wp:cNvGraphicFramePr/>
            <a:graphic>
              <a:graphicData uri="http://schemas.openxmlformats.org/drawingml/2006/picture">
                <pic:pic>
                  <pic:nvPicPr>
                    <pic:cNvPr id="314" name="IM 31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36" cy="565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2848" behindDoc="1" locked="0" layoutInCell="1" allowOverlap="1">
            <wp:simplePos x="0" y="0"/>
            <wp:positionH relativeFrom="column">
              <wp:posOffset>710107</wp:posOffset>
            </wp:positionH>
            <wp:positionV relativeFrom="paragraph">
              <wp:posOffset>679426</wp:posOffset>
            </wp:positionV>
            <wp:extent cx="63436" cy="610996"/>
            <wp:effectExtent l="0" t="0" r="0" b="0"/>
            <wp:wrapNone/>
            <wp:docPr id="316" name="IM 316"/>
            <wp:cNvGraphicFramePr/>
            <a:graphic>
              <a:graphicData uri="http://schemas.openxmlformats.org/drawingml/2006/picture">
                <pic:pic>
                  <pic:nvPicPr>
                    <pic:cNvPr id="316" name="IM 31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36" cy="61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93088" behindDoc="1" locked="0" layoutInCell="1" allowOverlap="1">
            <wp:simplePos x="0" y="0"/>
            <wp:positionH relativeFrom="column">
              <wp:posOffset>912481</wp:posOffset>
            </wp:positionH>
            <wp:positionV relativeFrom="paragraph">
              <wp:posOffset>592748</wp:posOffset>
            </wp:positionV>
            <wp:extent cx="63436" cy="697674"/>
            <wp:effectExtent l="0" t="0" r="0" b="0"/>
            <wp:wrapNone/>
            <wp:docPr id="318" name="IM 318"/>
            <wp:cNvGraphicFramePr/>
            <a:graphic>
              <a:graphicData uri="http://schemas.openxmlformats.org/drawingml/2006/picture">
                <pic:pic>
                  <pic:nvPicPr>
                    <pic:cNvPr id="318" name="IM 318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36" cy="69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3872" behindDoc="1" locked="0" layoutInCell="1" allowOverlap="1">
            <wp:simplePos x="0" y="0"/>
            <wp:positionH relativeFrom="column">
              <wp:posOffset>1114869</wp:posOffset>
            </wp:positionH>
            <wp:positionV relativeFrom="paragraph">
              <wp:posOffset>572923</wp:posOffset>
            </wp:positionV>
            <wp:extent cx="63449" cy="717499"/>
            <wp:effectExtent l="0" t="0" r="0" b="0"/>
            <wp:wrapNone/>
            <wp:docPr id="320" name="IM 320"/>
            <wp:cNvGraphicFramePr/>
            <a:graphic>
              <a:graphicData uri="http://schemas.openxmlformats.org/drawingml/2006/picture">
                <pic:pic>
                  <pic:nvPicPr>
                    <pic:cNvPr id="320" name="IM 320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3449" cy="717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86944" behindDoc="1" locked="0" layoutInCell="1" allowOverlap="1">
            <wp:simplePos x="0" y="0"/>
            <wp:positionH relativeFrom="column">
              <wp:posOffset>1317243</wp:posOffset>
            </wp:positionH>
            <wp:positionV relativeFrom="paragraph">
              <wp:posOffset>210973</wp:posOffset>
            </wp:positionV>
            <wp:extent cx="1075347" cy="1079448"/>
            <wp:effectExtent l="0" t="0" r="0" b="0"/>
            <wp:wrapNone/>
            <wp:docPr id="322" name="IM 322"/>
            <wp:cNvGraphicFramePr/>
            <a:graphic>
              <a:graphicData uri="http://schemas.openxmlformats.org/drawingml/2006/picture">
                <pic:pic>
                  <pic:nvPicPr>
                    <pic:cNvPr id="322" name="IM 322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5347" cy="10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2"/>
        </w:rPr>
        <w:drawing>
          <wp:inline distT="0" distB="0" distL="0" distR="0">
            <wp:extent cx="2582392" cy="1354713"/>
            <wp:effectExtent l="0" t="0" r="0" b="0"/>
            <wp:docPr id="324" name="IM 324"/>
            <wp:cNvGraphicFramePr/>
            <a:graphic>
              <a:graphicData uri="http://schemas.openxmlformats.org/drawingml/2006/picture">
                <pic:pic>
                  <pic:nvPicPr>
                    <pic:cNvPr id="324" name="IM 324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2392" cy="135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16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图3-4    2014—2024年上市公司数量和市值</w:t>
      </w:r>
    </w:p>
    <w:p>
      <w:pPr>
        <w:pStyle w:val="BodyText"/>
        <w:ind w:left="1032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（数据来源：中国证监会）</w:t>
      </w:r>
    </w:p>
    <w:p>
      <w:pPr>
        <w:pStyle w:val="BodyText"/>
        <w:ind w:left="454"/>
        <w:spacing w:before="475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（二）稳健性评估</w:t>
      </w:r>
    </w:p>
    <w:p>
      <w:pPr>
        <w:pStyle w:val="BodyText"/>
        <w:ind w:left="40" w:right="34" w:firstLine="427"/>
        <w:spacing w:before="240" w:line="243" w:lineRule="auto"/>
        <w:jc w:val="both"/>
        <w:rPr/>
      </w:pPr>
      <w:r>
        <w:rPr>
          <w:color w:val="231F20"/>
          <w:spacing w:val="9"/>
        </w:rPr>
        <w:t>证券公司经营总体稳健，经营业绩有所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回升。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6"/>
        </w:rPr>
        <w:t>截至</w:t>
      </w:r>
      <w:r>
        <w:rPr>
          <w:rFonts w:ascii="Times New Roman" w:hAnsi="Times New Roman" w:eastAsia="Times New Roman" w:cs="Times New Roman"/>
          <w:color w:val="231F20"/>
          <w:spacing w:val="6"/>
        </w:rPr>
        <w:t>2024</w:t>
      </w:r>
      <w:r>
        <w:rPr>
          <w:color w:val="231F20"/>
          <w:spacing w:val="6"/>
        </w:rPr>
        <w:t>年末，全行业净资本总额为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2.31</w:t>
      </w:r>
      <w:r>
        <w:rPr>
          <w:color w:val="231F20"/>
          <w:spacing w:val="3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3"/>
        </w:rPr>
        <w:t>5.96%</w:t>
      </w:r>
      <w:r>
        <w:rPr>
          <w:color w:val="231F20"/>
          <w:spacing w:val="3"/>
        </w:rPr>
        <w:t>，连续六年正增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3"/>
        </w:rPr>
        <w:t>长（见图</w:t>
      </w:r>
      <w:r>
        <w:rPr>
          <w:rFonts w:ascii="Times New Roman" w:hAnsi="Times New Roman" w:eastAsia="Times New Roman" w:cs="Times New Roman"/>
          <w:color w:val="231F20"/>
          <w:spacing w:val="3"/>
        </w:rPr>
        <w:t>3</w:t>
      </w:r>
      <w:r>
        <w:rPr>
          <w:color w:val="231F20"/>
          <w:spacing w:val="3"/>
        </w:rPr>
        <w:t>-</w:t>
      </w:r>
      <w:r>
        <w:rPr>
          <w:rFonts w:ascii="Times New Roman" w:hAnsi="Times New Roman" w:eastAsia="Times New Roman" w:cs="Times New Roman"/>
          <w:color w:val="231F20"/>
          <w:spacing w:val="3"/>
        </w:rPr>
        <w:t>5</w:t>
      </w:r>
      <w:r>
        <w:rPr>
          <w:color w:val="231F20"/>
          <w:spacing w:val="8"/>
        </w:rPr>
        <w:t>）；</w:t>
      </w:r>
      <w:r>
        <w:rPr>
          <w:color w:val="231F20"/>
          <w:spacing w:val="3"/>
        </w:rPr>
        <w:t>平均风险覆盖率为</w:t>
      </w:r>
      <w:r>
        <w:rPr>
          <w:rFonts w:ascii="Times New Roman" w:hAnsi="Times New Roman" w:eastAsia="Times New Roman" w:cs="Times New Roman"/>
          <w:color w:val="231F20"/>
          <w:spacing w:val="3"/>
        </w:rPr>
        <w:t>267.1%</w:t>
      </w:r>
      <w:r>
        <w:rPr>
          <w:color w:val="231F20"/>
          <w:spacing w:val="3"/>
        </w:rPr>
        <w:t>，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同比上升</w:t>
      </w:r>
      <w:r>
        <w:rPr>
          <w:rFonts w:ascii="Times New Roman" w:hAnsi="Times New Roman" w:eastAsia="Times New Roman" w:cs="Times New Roman"/>
          <w:color w:val="231F20"/>
          <w:spacing w:val="5"/>
        </w:rPr>
        <w:t>15.72</w:t>
      </w:r>
      <w:r>
        <w:rPr>
          <w:color w:val="231F20"/>
          <w:spacing w:val="5"/>
        </w:rPr>
        <w:t>个百分点；平均资本杠杆率为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3"/>
        </w:rPr>
        <w:t>19.9%</w:t>
      </w:r>
      <w:r>
        <w:rPr>
          <w:color w:val="231F20"/>
          <w:spacing w:val="13"/>
        </w:rPr>
        <w:t>，同比上升</w:t>
      </w:r>
      <w:r>
        <w:rPr>
          <w:rFonts w:ascii="Times New Roman" w:hAnsi="Times New Roman" w:eastAsia="Times New Roman" w:cs="Times New Roman"/>
          <w:color w:val="231F20"/>
          <w:spacing w:val="13"/>
        </w:rPr>
        <w:t>1.37</w:t>
      </w:r>
      <w:r>
        <w:rPr>
          <w:color w:val="231F20"/>
          <w:spacing w:val="13"/>
        </w:rPr>
        <w:t>个百分点；平均流动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3"/>
        </w:rPr>
        <w:t>性覆盖率为</w:t>
      </w:r>
      <w:r>
        <w:rPr>
          <w:rFonts w:ascii="Times New Roman" w:hAnsi="Times New Roman" w:eastAsia="Times New Roman" w:cs="Times New Roman"/>
          <w:color w:val="231F20"/>
          <w:spacing w:val="13"/>
        </w:rPr>
        <w:t>240.3%</w:t>
      </w:r>
      <w:r>
        <w:rPr>
          <w:color w:val="231F20"/>
          <w:spacing w:val="13"/>
        </w:rPr>
        <w:t>，同比上升</w:t>
      </w:r>
      <w:r>
        <w:rPr>
          <w:rFonts w:ascii="Times New Roman" w:hAnsi="Times New Roman" w:eastAsia="Times New Roman" w:cs="Times New Roman"/>
          <w:color w:val="231F20"/>
          <w:spacing w:val="13"/>
        </w:rPr>
        <w:t>16.89</w:t>
      </w:r>
      <w:r>
        <w:rPr>
          <w:color w:val="231F20"/>
          <w:spacing w:val="13"/>
        </w:rPr>
        <w:t>个百分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点；平均净稳定资金率为</w:t>
      </w:r>
      <w:r>
        <w:rPr>
          <w:rFonts w:ascii="Times New Roman" w:hAnsi="Times New Roman" w:eastAsia="Times New Roman" w:cs="Times New Roman"/>
          <w:color w:val="231F20"/>
          <w:spacing w:val="6"/>
        </w:rPr>
        <w:t>161.5%</w:t>
      </w:r>
      <w:r>
        <w:rPr>
          <w:color w:val="231F20"/>
          <w:spacing w:val="6"/>
        </w:rPr>
        <w:t>，同比上升</w:t>
      </w:r>
      <w:r>
        <w:rPr>
          <w:color w:val="231F20"/>
          <w:spacing w:val="1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11.26</w:t>
      </w:r>
      <w:r>
        <w:rPr>
          <w:color w:val="231F20"/>
          <w:spacing w:val="1"/>
        </w:rPr>
        <w:t>个百分点，均优于监管标准。</w:t>
      </w:r>
      <w:r>
        <w:rPr>
          <w:color w:val="231F20"/>
          <w:spacing w:val="4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年全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行业实现营业收入</w:t>
      </w:r>
      <w:r>
        <w:rPr>
          <w:rFonts w:ascii="Times New Roman" w:hAnsi="Times New Roman" w:eastAsia="Times New Roman" w:cs="Times New Roman"/>
          <w:color w:val="231F20"/>
          <w:spacing w:val="15"/>
        </w:rPr>
        <w:t>4520.81</w:t>
      </w:r>
      <w:r>
        <w:rPr>
          <w:color w:val="231F20"/>
          <w:spacing w:val="15"/>
        </w:rPr>
        <w:t>亿元，同比增长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11.44%</w:t>
      </w:r>
      <w:r>
        <w:rPr>
          <w:color w:val="231F20"/>
          <w:spacing w:val="4"/>
        </w:rPr>
        <w:t>；实现净利润</w:t>
      </w:r>
      <w:r>
        <w:rPr>
          <w:rFonts w:ascii="Times New Roman" w:hAnsi="Times New Roman" w:eastAsia="Times New Roman" w:cs="Times New Roman"/>
          <w:color w:val="231F20"/>
          <w:spacing w:val="4"/>
        </w:rPr>
        <w:t>1667.12</w:t>
      </w:r>
      <w:r>
        <w:rPr>
          <w:color w:val="231F20"/>
          <w:spacing w:val="4"/>
        </w:rPr>
        <w:t>亿元，同比</w:t>
      </w:r>
      <w:r>
        <w:rPr>
          <w:color w:val="231F20"/>
          <w:spacing w:val="3"/>
        </w:rPr>
        <w:t>增长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21.14%</w:t>
      </w:r>
      <w:r>
        <w:rPr>
          <w:color w:val="231F20"/>
        </w:rPr>
        <w:t>；行业平均净资产收益率为</w:t>
      </w:r>
      <w:r>
        <w:rPr>
          <w:rFonts w:ascii="Times New Roman" w:hAnsi="Times New Roman" w:eastAsia="Times New Roman" w:cs="Times New Roman"/>
          <w:color w:val="231F20"/>
        </w:rPr>
        <w:t>5.50%</w:t>
      </w:r>
      <w:r>
        <w:rPr>
          <w:color w:val="231F20"/>
        </w:rPr>
        <w:t>，同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比上升</w:t>
      </w:r>
      <w:r>
        <w:rPr>
          <w:rFonts w:ascii="Times New Roman" w:hAnsi="Times New Roman" w:eastAsia="Times New Roman" w:cs="Times New Roman"/>
          <w:color w:val="231F20"/>
          <w:spacing w:val="5"/>
        </w:rPr>
        <w:t>0.7</w:t>
      </w:r>
      <w:r>
        <w:rPr>
          <w:color w:val="231F20"/>
          <w:spacing w:val="5"/>
        </w:rPr>
        <w:t>个百分点。根据证券公司</w:t>
      </w: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年分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</w:rPr>
        <w:t>类评价结果，</w:t>
      </w:r>
      <w:r>
        <w:rPr>
          <w:color w:val="231F20"/>
          <w:spacing w:val="-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3"/>
        </w:rPr>
        <w:t>107</w:t>
      </w:r>
      <w:r>
        <w:rPr>
          <w:color w:val="231F20"/>
          <w:spacing w:val="-3"/>
        </w:rPr>
        <w:t>家参评主体中，</w:t>
      </w:r>
      <w:r>
        <w:rPr>
          <w:color w:val="231F20"/>
          <w:spacing w:val="-2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3"/>
        </w:rPr>
        <w:t>A</w:t>
      </w:r>
      <w:r>
        <w:rPr>
          <w:rFonts w:ascii="Times New Roman" w:hAnsi="Times New Roman" w:eastAsia="Times New Roman" w:cs="Times New Roman"/>
          <w:color w:val="231F20"/>
          <w:spacing w:val="-25"/>
        </w:rPr>
        <w:t xml:space="preserve"> </w:t>
      </w:r>
      <w:r>
        <w:rPr>
          <w:color w:val="231F20"/>
          <w:spacing w:val="-3"/>
        </w:rPr>
        <w:t>、</w:t>
      </w:r>
      <w:r>
        <w:rPr>
          <w:rFonts w:ascii="Times New Roman" w:hAnsi="Times New Roman" w:eastAsia="Times New Roman" w:cs="Times New Roman"/>
          <w:color w:val="231F20"/>
          <w:spacing w:val="-3"/>
        </w:rPr>
        <w:t>B</w:t>
      </w:r>
      <w:r>
        <w:rPr>
          <w:rFonts w:ascii="Times New Roman" w:hAnsi="Times New Roman" w:eastAsia="Times New Roman" w:cs="Times New Roman"/>
          <w:color w:val="231F20"/>
          <w:spacing w:val="-25"/>
        </w:rPr>
        <w:t xml:space="preserve"> </w:t>
      </w:r>
      <w:r>
        <w:rPr>
          <w:color w:val="231F20"/>
          <w:spacing w:val="-3"/>
        </w:rPr>
        <w:t>、</w:t>
      </w:r>
      <w:r>
        <w:rPr>
          <w:rFonts w:ascii="Times New Roman" w:hAnsi="Times New Roman" w:eastAsia="Times New Roman" w:cs="Times New Roman"/>
          <w:color w:val="231F20"/>
          <w:spacing w:val="-3"/>
        </w:rPr>
        <w:t>C</w:t>
      </w:r>
      <w:r>
        <w:rPr>
          <w:color w:val="231F20"/>
          <w:spacing w:val="-3"/>
        </w:rPr>
        <w:t>类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公司数量占比分别为</w:t>
      </w:r>
      <w:r>
        <w:rPr>
          <w:rFonts w:ascii="Times New Roman" w:hAnsi="Times New Roman" w:eastAsia="Times New Roman" w:cs="Times New Roman"/>
          <w:color w:val="231F20"/>
          <w:spacing w:val="-2"/>
        </w:rPr>
        <w:t>50%</w:t>
      </w:r>
      <w:r>
        <w:rPr>
          <w:rFonts w:ascii="Times New Roman" w:hAnsi="Times New Roman" w:eastAsia="Times New Roman" w:cs="Times New Roman"/>
          <w:color w:val="231F20"/>
          <w:spacing w:val="-5"/>
        </w:rPr>
        <w:t xml:space="preserve"> </w:t>
      </w:r>
      <w:r>
        <w:rPr>
          <w:color w:val="231F20"/>
          <w:spacing w:val="-2"/>
        </w:rPr>
        <w:t>、</w:t>
      </w:r>
      <w:r>
        <w:rPr>
          <w:rFonts w:ascii="Times New Roman" w:hAnsi="Times New Roman" w:eastAsia="Times New Roman" w:cs="Times New Roman"/>
          <w:color w:val="231F20"/>
          <w:spacing w:val="-2"/>
        </w:rPr>
        <w:t>40%</w:t>
      </w:r>
      <w:r>
        <w:rPr>
          <w:rFonts w:ascii="Times New Roman" w:hAnsi="Times New Roman" w:eastAsia="Times New Roman" w:cs="Times New Roman"/>
          <w:color w:val="231F20"/>
          <w:spacing w:val="-24"/>
        </w:rPr>
        <w:t xml:space="preserve"> </w:t>
      </w:r>
      <w:r>
        <w:rPr>
          <w:color w:val="231F20"/>
          <w:spacing w:val="-2"/>
        </w:rPr>
        <w:t>、</w:t>
      </w:r>
      <w:r>
        <w:rPr>
          <w:color w:val="231F20"/>
          <w:spacing w:val="-1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2"/>
        </w:rPr>
        <w:t>10%</w:t>
      </w:r>
      <w:r>
        <w:rPr>
          <w:color w:val="231F20"/>
          <w:spacing w:val="-2"/>
        </w:rPr>
        <w:t>，与上</w:t>
      </w:r>
    </w:p>
    <w:p>
      <w:pPr>
        <w:spacing w:line="243" w:lineRule="auto"/>
        <w:sectPr>
          <w:type w:val="continuous"/>
          <w:pgSz w:w="11906" w:h="16158"/>
          <w:pgMar w:top="1384" w:right="1381" w:bottom="400" w:left="1703" w:header="1061" w:footer="0" w:gutter="0"/>
          <w:cols w:equalWidth="0" w:num="2">
            <w:col w:w="4482" w:space="100"/>
            <w:col w:w="4240" w:space="0"/>
          </w:cols>
        </w:sectPr>
        <w:rPr/>
      </w:pPr>
    </w:p>
    <w:p>
      <w:pPr>
        <w:spacing w:before="172"/>
        <w:rPr/>
      </w:pPr>
      <w:r/>
    </w:p>
    <w:p>
      <w:pPr>
        <w:sectPr>
          <w:headerReference w:type="default" r:id="rId166"/>
          <w:pgSz w:w="11906" w:h="16158"/>
          <w:pgMar w:top="1367" w:right="1700" w:bottom="400" w:left="1417" w:header="1044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6"/>
        <w:spacing w:before="41" w:line="182" w:lineRule="auto"/>
        <w:rPr/>
      </w:pPr>
      <w:r>
        <w:rPr>
          <w:color w:val="231F20"/>
          <w:spacing w:val="-3"/>
        </w:rPr>
        <w:t>一年度分类评价结果基本相当。</w:t>
      </w:r>
    </w:p>
    <w:p>
      <w:pPr>
        <w:pStyle w:val="BodyText"/>
        <w:ind w:left="679"/>
        <w:spacing w:before="395" w:line="133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231F20"/>
          <w:position w:val="1"/>
        </w:rPr>
        <w:drawing>
          <wp:inline distT="0" distB="0" distL="0" distR="0">
            <wp:extent cx="154419" cy="50228"/>
            <wp:effectExtent l="0" t="0" r="0" b="0"/>
            <wp:docPr id="328" name="IM 328"/>
            <wp:cNvGraphicFramePr/>
            <a:graphic>
              <a:graphicData uri="http://schemas.openxmlformats.org/drawingml/2006/picture">
                <pic:pic>
                  <pic:nvPicPr>
                    <pic:cNvPr id="328" name="IM 328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4419" cy="5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27"/>
        </w:rPr>
        <w:t xml:space="preserve"> </w:t>
      </w:r>
      <w:r>
        <w:rPr>
          <w:sz w:val="13"/>
          <w:szCs w:val="13"/>
          <w:color w:val="231F20"/>
          <w:spacing w:val="4"/>
        </w:rPr>
        <w:t>净资本</w:t>
      </w:r>
      <w:r>
        <w:rPr>
          <w:sz w:val="13"/>
          <w:szCs w:val="13"/>
          <w:color w:val="231F20"/>
          <w:spacing w:val="4"/>
        </w:rPr>
        <w:t xml:space="preserve">  </w:t>
      </w:r>
      <w:r>
        <w:rPr>
          <w:sz w:val="13"/>
          <w:szCs w:val="13"/>
          <w:color w:val="231F20"/>
          <w:spacing w:val="4"/>
        </w:rPr>
        <w:t>(左轴</w:t>
      </w:r>
      <w:r>
        <w:rPr>
          <w:sz w:val="13"/>
          <w:szCs w:val="13"/>
          <w:color w:val="231F20"/>
          <w:spacing w:val="17"/>
          <w:w w:val="103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 xml:space="preserve">     </w:t>
      </w:r>
      <w:r>
        <w:rPr>
          <w:rFonts w:ascii="DejaVu Sans" w:hAnsi="DejaVu Sans" w:eastAsia="DejaVu Sans" w:cs="DejaVu Sans"/>
          <w:sz w:val="13"/>
          <w:szCs w:val="13"/>
          <w:color w:val="EE4256"/>
          <w:spacing w:val="4"/>
        </w:rPr>
        <w:t>——</w:t>
      </w:r>
      <w:r>
        <w:rPr>
          <w:rFonts w:ascii="DejaVu Sans" w:hAnsi="DejaVu Sans" w:eastAsia="DejaVu Sans" w:cs="DejaVu Sans"/>
          <w:sz w:val="13"/>
          <w:szCs w:val="13"/>
          <w:color w:val="EE4256"/>
          <w:spacing w:val="-7"/>
        </w:rPr>
        <w:t xml:space="preserve"> </w:t>
      </w:r>
      <w:r>
        <w:rPr>
          <w:sz w:val="13"/>
          <w:szCs w:val="13"/>
          <w:color w:val="231F20"/>
          <w:spacing w:val="4"/>
        </w:rPr>
        <w:t>净资本增幅</w:t>
      </w:r>
      <w:r>
        <w:rPr>
          <w:sz w:val="13"/>
          <w:szCs w:val="13"/>
          <w:color w:val="231F20"/>
          <w:spacing w:val="4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 xml:space="preserve"> </w:t>
      </w:r>
      <w:r>
        <w:rPr>
          <w:sz w:val="13"/>
          <w:szCs w:val="13"/>
          <w:color w:val="231F20"/>
          <w:spacing w:val="4"/>
        </w:rPr>
        <w:t>右轴</w:t>
      </w:r>
      <w:r>
        <w:rPr>
          <w:sz w:val="13"/>
          <w:szCs w:val="13"/>
          <w:color w:val="231F20"/>
          <w:spacing w:val="15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4"/>
        </w:rPr>
        <w:t>)</w:t>
      </w:r>
    </w:p>
    <w:p>
      <w:pPr>
        <w:ind w:firstLine="42"/>
        <w:spacing w:before="46" w:line="2356" w:lineRule="exact"/>
        <w:rPr/>
      </w:pPr>
      <w:r>
        <w:drawing>
          <wp:anchor distT="0" distB="0" distL="0" distR="0" simplePos="0" relativeHeight="252004352" behindDoc="1" locked="0" layoutInCell="1" allowOverlap="1">
            <wp:simplePos x="0" y="0"/>
            <wp:positionH relativeFrom="column">
              <wp:posOffset>347332</wp:posOffset>
            </wp:positionH>
            <wp:positionV relativeFrom="paragraph">
              <wp:posOffset>1068272</wp:posOffset>
            </wp:positionV>
            <wp:extent cx="61455" cy="330187"/>
            <wp:effectExtent l="0" t="0" r="0" b="0"/>
            <wp:wrapNone/>
            <wp:docPr id="330" name="IM 330"/>
            <wp:cNvGraphicFramePr/>
            <a:graphic>
              <a:graphicData uri="http://schemas.openxmlformats.org/drawingml/2006/picture">
                <pic:pic>
                  <pic:nvPicPr>
                    <pic:cNvPr id="330" name="IM 33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55" cy="33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5376" behindDoc="1" locked="0" layoutInCell="1" allowOverlap="1">
            <wp:simplePos x="0" y="0"/>
            <wp:positionH relativeFrom="column">
              <wp:posOffset>543369</wp:posOffset>
            </wp:positionH>
            <wp:positionV relativeFrom="paragraph">
              <wp:posOffset>789634</wp:posOffset>
            </wp:positionV>
            <wp:extent cx="61455" cy="608825"/>
            <wp:effectExtent l="0" t="0" r="0" b="0"/>
            <wp:wrapNone/>
            <wp:docPr id="332" name="IM 332"/>
            <wp:cNvGraphicFramePr/>
            <a:graphic>
              <a:graphicData uri="http://schemas.openxmlformats.org/drawingml/2006/picture">
                <pic:pic>
                  <pic:nvPicPr>
                    <pic:cNvPr id="332" name="IM 332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1455" cy="60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6400" behindDoc="1" locked="0" layoutInCell="1" allowOverlap="1">
            <wp:simplePos x="0" y="0"/>
            <wp:positionH relativeFrom="column">
              <wp:posOffset>739406</wp:posOffset>
            </wp:positionH>
            <wp:positionV relativeFrom="paragraph">
              <wp:posOffset>275437</wp:posOffset>
            </wp:positionV>
            <wp:extent cx="1629740" cy="1123022"/>
            <wp:effectExtent l="0" t="0" r="0" b="0"/>
            <wp:wrapNone/>
            <wp:docPr id="334" name="IM 334"/>
            <wp:cNvGraphicFramePr/>
            <a:graphic>
              <a:graphicData uri="http://schemas.openxmlformats.org/drawingml/2006/picture">
                <pic:pic>
                  <pic:nvPicPr>
                    <pic:cNvPr id="334" name="IM 334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29740" cy="1123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7"/>
        </w:rPr>
        <w:drawing>
          <wp:inline distT="0" distB="0" distL="0" distR="0">
            <wp:extent cx="2592054" cy="1496144"/>
            <wp:effectExtent l="0" t="0" r="0" b="0"/>
            <wp:docPr id="336" name="IM 336"/>
            <wp:cNvGraphicFramePr/>
            <a:graphic>
              <a:graphicData uri="http://schemas.openxmlformats.org/drawingml/2006/picture">
                <pic:pic>
                  <pic:nvPicPr>
                    <pic:cNvPr id="336" name="IM 336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2054" cy="14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00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图3-5    2014—2024年证券公司净资本变化情况</w:t>
      </w:r>
    </w:p>
    <w:p>
      <w:pPr>
        <w:pStyle w:val="BodyText"/>
        <w:ind w:left="995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（数据来源：中国证监会）</w:t>
      </w:r>
    </w:p>
    <w:p>
      <w:pPr>
        <w:pStyle w:val="BodyText"/>
        <w:ind w:left="5" w:right="358" w:firstLine="422"/>
        <w:spacing w:before="307" w:line="255" w:lineRule="auto"/>
        <w:jc w:val="both"/>
        <w:rPr/>
      </w:pPr>
      <w:r>
        <w:rPr>
          <w:color w:val="231F20"/>
          <w:spacing w:val="12"/>
        </w:rPr>
        <w:t>公募基金管理资产净值稳步增长。   截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2"/>
        </w:rPr>
        <w:t>至</w:t>
      </w:r>
      <w:r>
        <w:rPr>
          <w:rFonts w:ascii="Times New Roman" w:hAnsi="Times New Roman" w:eastAsia="Times New Roman" w:cs="Times New Roman"/>
          <w:color w:val="231F20"/>
          <w:spacing w:val="12"/>
        </w:rPr>
        <w:t>2024</w:t>
      </w:r>
      <w:r>
        <w:rPr>
          <w:color w:val="231F20"/>
          <w:spacing w:val="12"/>
        </w:rPr>
        <w:t>年末，公募基金净值</w:t>
      </w:r>
      <w:r>
        <w:rPr>
          <w:rFonts w:ascii="Times New Roman" w:hAnsi="Times New Roman" w:eastAsia="Times New Roman" w:cs="Times New Roman"/>
          <w:color w:val="231F20"/>
          <w:spacing w:val="12"/>
        </w:rPr>
        <w:t>32.83</w:t>
      </w:r>
      <w:r>
        <w:rPr>
          <w:color w:val="231F20"/>
          <w:spacing w:val="12"/>
        </w:rPr>
        <w:t>万亿元，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16"/>
        </w:rPr>
        <w:t>同比增长</w:t>
      </w:r>
      <w:r>
        <w:rPr>
          <w:rFonts w:ascii="Times New Roman" w:hAnsi="Times New Roman" w:eastAsia="Times New Roman" w:cs="Times New Roman"/>
          <w:color w:val="231F20"/>
          <w:spacing w:val="16"/>
        </w:rPr>
        <w:t>18.95%</w:t>
      </w:r>
      <w:r>
        <w:rPr>
          <w:color w:val="231F20"/>
          <w:spacing w:val="16"/>
        </w:rPr>
        <w:t>。其中，股票型基金占比</w:t>
      </w:r>
      <w:r>
        <w:rPr>
          <w:color w:val="231F20"/>
          <w:spacing w:val="1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13.59%</w:t>
      </w:r>
      <w:r>
        <w:rPr>
          <w:color w:val="231F20"/>
          <w:spacing w:val="-1"/>
        </w:rPr>
        <w:t>，同比上升</w:t>
      </w:r>
      <w:r>
        <w:rPr>
          <w:rFonts w:ascii="Times New Roman" w:hAnsi="Times New Roman" w:eastAsia="Times New Roman" w:cs="Times New Roman"/>
          <w:color w:val="231F20"/>
          <w:spacing w:val="-1"/>
        </w:rPr>
        <w:t>3.30</w:t>
      </w:r>
      <w:r>
        <w:rPr>
          <w:color w:val="231F20"/>
          <w:spacing w:val="-1"/>
        </w:rPr>
        <w:t>个百分点；债券型基金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8"/>
        </w:rPr>
        <w:t>占比</w:t>
      </w:r>
      <w:r>
        <w:rPr>
          <w:rFonts w:ascii="Times New Roman" w:hAnsi="Times New Roman" w:eastAsia="Times New Roman" w:cs="Times New Roman"/>
          <w:color w:val="231F20"/>
          <w:spacing w:val="8"/>
        </w:rPr>
        <w:t>31.59%</w:t>
      </w:r>
      <w:r>
        <w:rPr>
          <w:color w:val="231F20"/>
          <w:spacing w:val="8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8"/>
        </w:rPr>
        <w:t>0.51</w:t>
      </w:r>
      <w:r>
        <w:rPr>
          <w:color w:val="231F20"/>
          <w:spacing w:val="8"/>
        </w:rPr>
        <w:t>个百分点；货币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8"/>
        </w:rPr>
        <w:t>市场基金占比</w:t>
      </w:r>
      <w:r>
        <w:rPr>
          <w:rFonts w:ascii="Times New Roman" w:hAnsi="Times New Roman" w:eastAsia="Times New Roman" w:cs="Times New Roman"/>
          <w:color w:val="231F20"/>
          <w:spacing w:val="8"/>
        </w:rPr>
        <w:t>41.46%</w:t>
      </w:r>
      <w:r>
        <w:rPr>
          <w:color w:val="231F20"/>
          <w:spacing w:val="8"/>
        </w:rPr>
        <w:t>，同比上升</w:t>
      </w:r>
      <w:r>
        <w:rPr>
          <w:rFonts w:ascii="Times New Roman" w:hAnsi="Times New Roman" w:eastAsia="Times New Roman" w:cs="Times New Roman"/>
          <w:color w:val="231F20"/>
          <w:spacing w:val="8"/>
        </w:rPr>
        <w:t>0.59</w:t>
      </w:r>
      <w:r>
        <w:rPr>
          <w:color w:val="231F20"/>
          <w:spacing w:val="8"/>
        </w:rPr>
        <w:t>个百分</w:t>
      </w:r>
    </w:p>
    <w:p>
      <w:pPr>
        <w:spacing w:line="31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5"/>
        <w:spacing w:before="36" w:line="255" w:lineRule="auto"/>
        <w:jc w:val="both"/>
        <w:rPr/>
      </w:pPr>
      <w:r>
        <w:rPr>
          <w:color w:val="231F20"/>
          <w:spacing w:val="-1"/>
        </w:rPr>
        <w:t>点；混合型基金占比</w:t>
      </w:r>
      <w:r>
        <w:rPr>
          <w:rFonts w:ascii="Times New Roman" w:hAnsi="Times New Roman" w:eastAsia="Times New Roman" w:cs="Times New Roman"/>
          <w:color w:val="231F20"/>
          <w:spacing w:val="-1"/>
        </w:rPr>
        <w:t>11.51%</w:t>
      </w:r>
      <w:r>
        <w:rPr>
          <w:color w:val="231F20"/>
          <w:spacing w:val="-1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3.74</w:t>
      </w:r>
      <w:r>
        <w:rPr>
          <w:color w:val="231F20"/>
          <w:spacing w:val="-1"/>
        </w:rPr>
        <w:t>个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8"/>
        </w:rPr>
        <w:t>百分点；合格境内机构投资者（</w:t>
      </w:r>
      <w:r>
        <w:rPr>
          <w:rFonts w:ascii="Times New Roman" w:hAnsi="Times New Roman" w:eastAsia="Times New Roman" w:cs="Times New Roman"/>
          <w:color w:val="231F20"/>
        </w:rPr>
        <w:t>QDII</w:t>
      </w:r>
      <w:r>
        <w:rPr>
          <w:color w:val="231F20"/>
          <w:spacing w:val="8"/>
        </w:rPr>
        <w:t>）基金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占比</w:t>
      </w:r>
      <w:r>
        <w:rPr>
          <w:rFonts w:ascii="Times New Roman" w:hAnsi="Times New Roman" w:eastAsia="Times New Roman" w:cs="Times New Roman"/>
          <w:color w:val="231F20"/>
          <w:spacing w:val="4"/>
        </w:rPr>
        <w:t>1.86%</w:t>
      </w:r>
      <w:r>
        <w:rPr>
          <w:color w:val="231F20"/>
          <w:spacing w:val="4"/>
        </w:rPr>
        <w:t>，同比上升</w:t>
      </w:r>
      <w:r>
        <w:rPr>
          <w:rFonts w:ascii="Times New Roman" w:hAnsi="Times New Roman" w:eastAsia="Times New Roman" w:cs="Times New Roman"/>
          <w:color w:val="231F20"/>
          <w:spacing w:val="4"/>
        </w:rPr>
        <w:t>0.34</w:t>
      </w:r>
      <w:r>
        <w:rPr>
          <w:color w:val="231F20"/>
          <w:spacing w:val="4"/>
        </w:rPr>
        <w:t>个百分点。货币市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场基金资产净值为</w:t>
      </w:r>
      <w:r>
        <w:rPr>
          <w:rFonts w:ascii="Times New Roman" w:hAnsi="Times New Roman" w:eastAsia="Times New Roman" w:cs="Times New Roman"/>
          <w:color w:val="231F20"/>
          <w:spacing w:val="2"/>
        </w:rPr>
        <w:t>13.61</w:t>
      </w:r>
      <w:r>
        <w:rPr>
          <w:color w:val="231F20"/>
          <w:spacing w:val="2"/>
        </w:rPr>
        <w:t>万亿元（见图</w:t>
      </w:r>
      <w:r>
        <w:rPr>
          <w:rFonts w:ascii="Times New Roman" w:hAnsi="Times New Roman" w:eastAsia="Times New Roman" w:cs="Times New Roman"/>
          <w:color w:val="231F20"/>
          <w:spacing w:val="2"/>
        </w:rPr>
        <w:t>3</w:t>
      </w:r>
      <w:r>
        <w:rPr>
          <w:color w:val="231F20"/>
          <w:spacing w:val="2"/>
        </w:rPr>
        <w:t>-</w:t>
      </w:r>
      <w:r>
        <w:rPr>
          <w:rFonts w:ascii="Times New Roman" w:hAnsi="Times New Roman" w:eastAsia="Times New Roman" w:cs="Times New Roman"/>
          <w:color w:val="231F20"/>
          <w:spacing w:val="2"/>
        </w:rPr>
        <w:t>6</w:t>
      </w:r>
      <w:r>
        <w:rPr>
          <w:color w:val="231F20"/>
        </w:rPr>
        <w:t>）， </w:t>
      </w:r>
      <w:r>
        <w:rPr>
          <w:color w:val="231F20"/>
          <w:spacing w:val="6"/>
        </w:rPr>
        <w:t>同比增长</w:t>
      </w:r>
      <w:r>
        <w:rPr>
          <w:rFonts w:ascii="Times New Roman" w:hAnsi="Times New Roman" w:eastAsia="Times New Roman" w:cs="Times New Roman"/>
          <w:color w:val="231F20"/>
          <w:spacing w:val="6"/>
        </w:rPr>
        <w:t>20.66%</w:t>
      </w:r>
      <w:r>
        <w:rPr>
          <w:color w:val="231F20"/>
          <w:spacing w:val="6"/>
        </w:rPr>
        <w:t>；投资组合平均剩余期限为 </w:t>
      </w:r>
      <w:r>
        <w:rPr>
          <w:rFonts w:ascii="Times New Roman" w:hAnsi="Times New Roman" w:eastAsia="Times New Roman" w:cs="Times New Roman"/>
          <w:color w:val="231F20"/>
        </w:rPr>
        <w:t>84</w:t>
      </w:r>
      <w:r>
        <w:rPr>
          <w:color w:val="231F20"/>
        </w:rPr>
        <w:t>天；平均杠杆率</w:t>
      </w:r>
      <w:r>
        <w:rPr>
          <w:rFonts w:ascii="Times New Roman" w:hAnsi="Times New Roman" w:eastAsia="Times New Roman" w:cs="Times New Roman"/>
          <w:color w:val="231F20"/>
        </w:rPr>
        <w:t>106.21%</w:t>
      </w:r>
      <w:r>
        <w:rPr>
          <w:color w:val="231F20"/>
        </w:rPr>
        <w:t>，同比</w:t>
      </w:r>
      <w:r>
        <w:rPr>
          <w:color w:val="231F20"/>
          <w:spacing w:val="-1"/>
        </w:rPr>
        <w:t>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2.2</w:t>
      </w:r>
      <w:r>
        <w:rPr>
          <w:color w:val="231F20"/>
          <w:spacing w:val="-1"/>
        </w:rPr>
        <w:t>个百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分点。</w:t>
      </w:r>
    </w:p>
    <w:p>
      <w:pPr>
        <w:ind w:firstLine="57"/>
        <w:spacing w:before="106" w:line="2593" w:lineRule="exact"/>
        <w:rPr/>
      </w:pPr>
      <w:r>
        <w:drawing>
          <wp:anchor distT="0" distB="0" distL="0" distR="0" simplePos="0" relativeHeight="252010496" behindDoc="0" locked="0" layoutInCell="1" allowOverlap="1">
            <wp:simplePos x="0" y="0"/>
            <wp:positionH relativeFrom="column">
              <wp:posOffset>378576</wp:posOffset>
            </wp:positionH>
            <wp:positionV relativeFrom="paragraph">
              <wp:posOffset>90875</wp:posOffset>
            </wp:positionV>
            <wp:extent cx="118643" cy="38595"/>
            <wp:effectExtent l="0" t="0" r="0" b="0"/>
            <wp:wrapNone/>
            <wp:docPr id="338" name="IM 338"/>
            <wp:cNvGraphicFramePr/>
            <a:graphic>
              <a:graphicData uri="http://schemas.openxmlformats.org/drawingml/2006/picture">
                <pic:pic>
                  <pic:nvPicPr>
                    <pic:cNvPr id="338" name="IM 33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643" cy="3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4592" behindDoc="0" locked="0" layoutInCell="1" allowOverlap="1">
            <wp:simplePos x="0" y="0"/>
            <wp:positionH relativeFrom="column">
              <wp:posOffset>356327</wp:posOffset>
            </wp:positionH>
            <wp:positionV relativeFrom="paragraph">
              <wp:posOffset>1422661</wp:posOffset>
            </wp:positionV>
            <wp:extent cx="112369" cy="170179"/>
            <wp:effectExtent l="0" t="0" r="0" b="0"/>
            <wp:wrapNone/>
            <wp:docPr id="340" name="IM 340"/>
            <wp:cNvGraphicFramePr/>
            <a:graphic>
              <a:graphicData uri="http://schemas.openxmlformats.org/drawingml/2006/picture">
                <pic:pic>
                  <pic:nvPicPr>
                    <pic:cNvPr id="340" name="IM 34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69" cy="17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2544" behindDoc="0" locked="0" layoutInCell="1" allowOverlap="1">
            <wp:simplePos x="0" y="0"/>
            <wp:positionH relativeFrom="column">
              <wp:posOffset>552960</wp:posOffset>
            </wp:positionH>
            <wp:positionV relativeFrom="paragraph">
              <wp:posOffset>1236796</wp:posOffset>
            </wp:positionV>
            <wp:extent cx="112369" cy="356044"/>
            <wp:effectExtent l="0" t="0" r="0" b="0"/>
            <wp:wrapNone/>
            <wp:docPr id="342" name="IM 342"/>
            <wp:cNvGraphicFramePr/>
            <a:graphic>
              <a:graphicData uri="http://schemas.openxmlformats.org/drawingml/2006/picture">
                <pic:pic>
                  <pic:nvPicPr>
                    <pic:cNvPr id="342" name="IM 342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69" cy="356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7664" behindDoc="0" locked="0" layoutInCell="1" allowOverlap="1">
            <wp:simplePos x="0" y="0"/>
            <wp:positionH relativeFrom="column">
              <wp:posOffset>749607</wp:posOffset>
            </wp:positionH>
            <wp:positionV relativeFrom="paragraph">
              <wp:posOffset>1245153</wp:posOffset>
            </wp:positionV>
            <wp:extent cx="112369" cy="347688"/>
            <wp:effectExtent l="0" t="0" r="0" b="0"/>
            <wp:wrapNone/>
            <wp:docPr id="344" name="IM 344"/>
            <wp:cNvGraphicFramePr/>
            <a:graphic>
              <a:graphicData uri="http://schemas.openxmlformats.org/drawingml/2006/picture">
                <pic:pic>
                  <pic:nvPicPr>
                    <pic:cNvPr id="344" name="IM 344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69" cy="34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3568" behindDoc="0" locked="0" layoutInCell="1" allowOverlap="1">
            <wp:simplePos x="0" y="0"/>
            <wp:positionH relativeFrom="column">
              <wp:posOffset>946254</wp:posOffset>
            </wp:positionH>
            <wp:positionV relativeFrom="paragraph">
              <wp:posOffset>1068775</wp:posOffset>
            </wp:positionV>
            <wp:extent cx="112369" cy="524065"/>
            <wp:effectExtent l="0" t="0" r="0" b="0"/>
            <wp:wrapNone/>
            <wp:docPr id="346" name="IM 346"/>
            <wp:cNvGraphicFramePr/>
            <a:graphic>
              <a:graphicData uri="http://schemas.openxmlformats.org/drawingml/2006/picture">
                <pic:pic>
                  <pic:nvPicPr>
                    <pic:cNvPr id="346" name="IM 34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69" cy="52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1520" behindDoc="0" locked="0" layoutInCell="1" allowOverlap="1">
            <wp:simplePos x="0" y="0"/>
            <wp:positionH relativeFrom="column">
              <wp:posOffset>1142901</wp:posOffset>
            </wp:positionH>
            <wp:positionV relativeFrom="paragraph">
              <wp:posOffset>1000144</wp:posOffset>
            </wp:positionV>
            <wp:extent cx="112369" cy="592696"/>
            <wp:effectExtent l="0" t="0" r="0" b="0"/>
            <wp:wrapNone/>
            <wp:docPr id="348" name="IM 348"/>
            <wp:cNvGraphicFramePr/>
            <a:graphic>
              <a:graphicData uri="http://schemas.openxmlformats.org/drawingml/2006/picture">
                <pic:pic>
                  <pic:nvPicPr>
                    <pic:cNvPr id="348" name="IM 348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69" cy="59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5616" behindDoc="0" locked="0" layoutInCell="1" allowOverlap="1">
            <wp:simplePos x="0" y="0"/>
            <wp:positionH relativeFrom="column">
              <wp:posOffset>1339548</wp:posOffset>
            </wp:positionH>
            <wp:positionV relativeFrom="paragraph">
              <wp:posOffset>1039095</wp:posOffset>
            </wp:positionV>
            <wp:extent cx="112369" cy="553745"/>
            <wp:effectExtent l="0" t="0" r="0" b="0"/>
            <wp:wrapNone/>
            <wp:docPr id="350" name="IM 350"/>
            <wp:cNvGraphicFramePr/>
            <a:graphic>
              <a:graphicData uri="http://schemas.openxmlformats.org/drawingml/2006/picture">
                <pic:pic>
                  <pic:nvPicPr>
                    <pic:cNvPr id="350" name="IM 350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69" cy="5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6640" behindDoc="0" locked="0" layoutInCell="1" allowOverlap="1">
            <wp:simplePos x="0" y="0"/>
            <wp:positionH relativeFrom="column">
              <wp:posOffset>1536182</wp:posOffset>
            </wp:positionH>
            <wp:positionV relativeFrom="paragraph">
              <wp:posOffset>966337</wp:posOffset>
            </wp:positionV>
            <wp:extent cx="112369" cy="626503"/>
            <wp:effectExtent l="0" t="0" r="0" b="0"/>
            <wp:wrapNone/>
            <wp:docPr id="352" name="IM 352"/>
            <wp:cNvGraphicFramePr/>
            <a:graphic>
              <a:graphicData uri="http://schemas.openxmlformats.org/drawingml/2006/picture">
                <pic:pic>
                  <pic:nvPicPr>
                    <pic:cNvPr id="352" name="IM 352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69" cy="62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18688" behindDoc="0" locked="0" layoutInCell="1" allowOverlap="1">
            <wp:simplePos x="0" y="0"/>
            <wp:positionH relativeFrom="column">
              <wp:posOffset>1732828</wp:posOffset>
            </wp:positionH>
            <wp:positionV relativeFrom="paragraph">
              <wp:posOffset>856203</wp:posOffset>
            </wp:positionV>
            <wp:extent cx="112382" cy="736638"/>
            <wp:effectExtent l="0" t="0" r="0" b="0"/>
            <wp:wrapNone/>
            <wp:docPr id="354" name="IM 354"/>
            <wp:cNvGraphicFramePr/>
            <a:graphic>
              <a:graphicData uri="http://schemas.openxmlformats.org/drawingml/2006/picture">
                <pic:pic>
                  <pic:nvPicPr>
                    <pic:cNvPr id="354" name="IM 354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82" cy="7366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7424" behindDoc="1" locked="0" layoutInCell="1" allowOverlap="1">
            <wp:simplePos x="0" y="0"/>
            <wp:positionH relativeFrom="column">
              <wp:posOffset>1929463</wp:posOffset>
            </wp:positionH>
            <wp:positionV relativeFrom="paragraph">
              <wp:posOffset>779342</wp:posOffset>
            </wp:positionV>
            <wp:extent cx="112382" cy="813498"/>
            <wp:effectExtent l="0" t="0" r="0" b="0"/>
            <wp:wrapNone/>
            <wp:docPr id="356" name="IM 356"/>
            <wp:cNvGraphicFramePr/>
            <a:graphic>
              <a:graphicData uri="http://schemas.openxmlformats.org/drawingml/2006/picture">
                <pic:pic>
                  <pic:nvPicPr>
                    <pic:cNvPr id="356" name="IM 356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82" cy="813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8448" behindDoc="1" locked="0" layoutInCell="1" allowOverlap="1">
            <wp:simplePos x="0" y="0"/>
            <wp:positionH relativeFrom="column">
              <wp:posOffset>2126122</wp:posOffset>
            </wp:positionH>
            <wp:positionV relativeFrom="paragraph">
              <wp:posOffset>715207</wp:posOffset>
            </wp:positionV>
            <wp:extent cx="112357" cy="877633"/>
            <wp:effectExtent l="0" t="0" r="0" b="0"/>
            <wp:wrapNone/>
            <wp:docPr id="358" name="IM 358"/>
            <wp:cNvGraphicFramePr/>
            <a:graphic>
              <a:graphicData uri="http://schemas.openxmlformats.org/drawingml/2006/picture">
                <pic:pic>
                  <pic:nvPicPr>
                    <pic:cNvPr id="358" name="IM 35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57" cy="877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03328" behindDoc="1" locked="0" layoutInCell="1" allowOverlap="1">
            <wp:simplePos x="0" y="0"/>
            <wp:positionH relativeFrom="column">
              <wp:posOffset>2322756</wp:posOffset>
            </wp:positionH>
            <wp:positionV relativeFrom="paragraph">
              <wp:posOffset>533915</wp:posOffset>
            </wp:positionV>
            <wp:extent cx="112369" cy="1058925"/>
            <wp:effectExtent l="0" t="0" r="0" b="0"/>
            <wp:wrapNone/>
            <wp:docPr id="360" name="IM 360"/>
            <wp:cNvGraphicFramePr/>
            <a:graphic>
              <a:graphicData uri="http://schemas.openxmlformats.org/drawingml/2006/picture">
                <pic:pic>
                  <pic:nvPicPr>
                    <pic:cNvPr id="360" name="IM 360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2369" cy="10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1"/>
        </w:rPr>
        <w:drawing>
          <wp:inline distT="0" distB="0" distL="0" distR="0">
            <wp:extent cx="2566035" cy="1646363"/>
            <wp:effectExtent l="0" t="0" r="0" b="0"/>
            <wp:docPr id="362" name="IM 362"/>
            <wp:cNvGraphicFramePr/>
            <a:graphic>
              <a:graphicData uri="http://schemas.openxmlformats.org/drawingml/2006/picture">
                <pic:pic>
                  <pic:nvPicPr>
                    <pic:cNvPr id="362" name="IM 362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6035" cy="164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1"/>
        <w:spacing w:before="153" w:line="204" w:lineRule="auto"/>
        <w:jc w:val="right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图3-6    2014—2024年货币市场基金资产净值及</w:t>
      </w:r>
      <w:r>
        <w:rPr>
          <w:sz w:val="18"/>
          <w:szCs w:val="18"/>
          <w:color w:val="231F20"/>
          <w:spacing w:val="1"/>
        </w:rPr>
        <w:t>占公</w:t>
      </w:r>
    </w:p>
    <w:p>
      <w:pPr>
        <w:pStyle w:val="BodyText"/>
        <w:ind w:left="1632"/>
        <w:spacing w:before="38" w:line="17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1"/>
        </w:rPr>
        <w:t>募基金比重</w:t>
      </w:r>
    </w:p>
    <w:p>
      <w:pPr>
        <w:pStyle w:val="BodyText"/>
        <w:ind w:left="989"/>
        <w:spacing w:before="59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（数据来源：中国证监会）</w:t>
      </w:r>
    </w:p>
    <w:p>
      <w:pPr>
        <w:spacing w:line="196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7" w:space="100"/>
            <w:col w:w="4162" w:space="0"/>
          </w:cols>
        </w:sectPr>
        <w:rPr>
          <w:sz w:val="18"/>
          <w:szCs w:val="18"/>
        </w:rPr>
      </w:pPr>
    </w:p>
    <w:p>
      <w:pPr>
        <w:pStyle w:val="BodyText"/>
        <w:ind w:left="299"/>
        <w:spacing w:before="486" w:line="174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094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123195</wp:posOffset>
                </wp:positionV>
                <wp:extent cx="5580380" cy="3347720"/>
                <wp:effectExtent l="0" t="0" r="0" b="0"/>
                <wp:wrapNone/>
                <wp:docPr id="364" name="Rect 364"/>
                <wp:cNvGraphicFramePr/>
                <a:graphic>
                  <a:graphicData uri="http://schemas.microsoft.com/office/word/2010/wordprocessingShape">
                    <wps:wsp>
                      <wps:cNvPr id="364" name="Rect 364"/>
                      <wps:cNvSpPr/>
                      <wps:spPr>
                        <a:xfrm>
                          <a:off x="0" y="123195"/>
                          <a:ext cx="5580380" cy="334772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0" style="position:absolute;margin-left:0pt;margin-top:9.70041pt;mso-position-vertical-relative:text;mso-position-horizontal-relative:text;width:439.4pt;height:263.6pt;z-index:-251307008;" fillcolor="#D4E5F5" filled="true" stroked="false"/>
            </w:pict>
          </mc:Fallback>
        </mc:AlternateContent>
      </w:r>
      <w:bookmarkStart w:name="bookmark25" w:id="30"/>
      <w:bookmarkEnd w:id="30"/>
      <w:r>
        <w:rPr>
          <w:sz w:val="28"/>
          <w:szCs w:val="28"/>
          <w:color w:val="231F20"/>
        </w:rPr>
        <w:t>专栏八    公募基金流动性压力测试结果分析</w:t>
      </w:r>
    </w:p>
    <w:p>
      <w:pPr>
        <w:spacing w:line="326" w:lineRule="exact"/>
        <w:rPr/>
      </w:pPr>
      <w:r/>
    </w:p>
    <w:p>
      <w:pPr>
        <w:spacing w:line="326" w:lineRule="exact"/>
        <w:sectPr>
          <w:type w:val="continuous"/>
          <w:pgSz w:w="11906" w:h="16158"/>
          <w:pgMar w:top="1367" w:right="1700" w:bottom="400" w:left="1417" w:header="1044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9" w:right="355" w:firstLine="425"/>
        <w:spacing w:before="43" w:line="251" w:lineRule="auto"/>
        <w:jc w:val="both"/>
        <w:rPr/>
      </w:pPr>
      <w:r>
        <w:rPr>
          <w:color w:val="231F20"/>
          <w:spacing w:val="7"/>
        </w:rPr>
        <w:t>2025年1月，中国人民银行组织开展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公募基金流动性风险压力测试，评估我国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公募基金应对极端赎回冲击的流动性管理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能力。</w:t>
      </w:r>
    </w:p>
    <w:p>
      <w:pPr>
        <w:pStyle w:val="BodyText"/>
        <w:ind w:left="721"/>
        <w:spacing w:before="1" w:line="173" w:lineRule="auto"/>
        <w:rPr/>
      </w:pPr>
      <w:r>
        <w:rPr>
          <w:color w:val="231F20"/>
          <w:spacing w:val="-3"/>
        </w:rPr>
        <w:t>一、压力测试基本情况</w:t>
      </w:r>
    </w:p>
    <w:p>
      <w:pPr>
        <w:pStyle w:val="BodyText"/>
        <w:ind w:left="301" w:right="356" w:firstLine="421"/>
        <w:spacing w:before="122" w:line="249" w:lineRule="auto"/>
        <w:rPr/>
      </w:pPr>
      <w:r>
        <w:rPr>
          <w:color w:val="231F20"/>
          <w:spacing w:val="-8"/>
        </w:rPr>
        <w:t>测试对象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8"/>
        </w:rPr>
        <w:t>。选取2024年末存续的13888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只公募基金进行压力测试。</w:t>
      </w:r>
    </w:p>
    <w:p>
      <w:pPr>
        <w:pStyle w:val="BodyText"/>
        <w:ind w:left="287" w:right="355" w:firstLine="435"/>
        <w:spacing w:before="3" w:line="211" w:lineRule="auto"/>
        <w:jc w:val="both"/>
        <w:rPr/>
      </w:pPr>
      <w:r>
        <w:rPr>
          <w:color w:val="231F20"/>
          <w:spacing w:val="3"/>
        </w:rPr>
        <w:t>测试方法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>。通过考察不同压力情景下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参试公募基金对赎回需求的流动性缺口，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5"/>
        </w:rPr>
        <w:t>评估公募基金在不同程度流动性冲击下的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3" w:firstLine="9"/>
        <w:spacing w:before="45" w:line="238" w:lineRule="auto"/>
        <w:jc w:val="both"/>
        <w:rPr/>
      </w:pPr>
      <w:r>
        <w:rPr>
          <w:color w:val="231F20"/>
          <w:spacing w:val="5"/>
        </w:rPr>
        <w:t>兑付能力。选取净赎回率，即单季度申购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赎回净额与期初基金总份额之比，作为公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募基金流动性冲击的代理变量，根据各类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公募基金历史申购赎回数据，模拟不同压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力情景下可能面临的赎回需求。将公募基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金所持资产分为20类，按流动性不同分别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赋予相应权重，根据2024年末公募基金资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产负债表数据，计算每只公募基金流动性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加权资产总额，并对公募基金在投资、运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营中因质押融资、费用计提等产生的负债</w:t>
      </w:r>
    </w:p>
    <w:p>
      <w:pPr>
        <w:spacing w:line="238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3" w:space="100"/>
            <w:col w:w="4165" w:space="0"/>
          </w:cols>
        </w:sectPr>
        <w:rPr/>
      </w:pPr>
    </w:p>
    <w:p>
      <w:pPr>
        <w:pStyle w:val="BodyText"/>
        <w:spacing w:line="322" w:lineRule="auto"/>
        <w:rPr/>
      </w:pPr>
      <w:r/>
    </w:p>
    <w:p>
      <w:pPr>
        <w:pStyle w:val="BodyText"/>
        <w:ind w:firstLine="4337"/>
        <w:spacing w:before="1" w:line="3183" w:lineRule="exact"/>
        <w:rPr/>
      </w:pPr>
      <w:r>
        <w:pict>
          <v:shape id="_x0000_s122" style="position:absolute;margin-left:13.2996pt;margin-top:10.3557pt;mso-position-vertical-relative:text;mso-position-horizontal-relative:text;width:196.1pt;height:144.3pt;z-index:2520217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5" w:right="20" w:hanging="3"/>
                    <w:spacing w:before="23" w:line="249" w:lineRule="auto"/>
                    <w:jc w:val="both"/>
                    <w:rPr/>
                  </w:pPr>
                  <w:r>
                    <w:rPr>
                      <w:color w:val="231F20"/>
                      <w:spacing w:val="5"/>
                    </w:rPr>
                    <w:t>进行扣减，得到可用于兑付赎回需求的流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  <w:spacing w:val="5"/>
                    </w:rPr>
                    <w:t>动性加权资产净额。若参试公募基金流动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5"/>
                    </w:rPr>
                    <w:t>性加权资产净额在压力情景下可以应对赎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回需求，则通过压力测试。</w:t>
                  </w:r>
                </w:p>
                <w:p>
                  <w:pPr>
                    <w:pStyle w:val="BodyText"/>
                    <w:ind w:left="20" w:right="20" w:firstLine="431"/>
                    <w:spacing w:before="3" w:line="234" w:lineRule="auto"/>
                    <w:jc w:val="both"/>
                    <w:rPr/>
                  </w:pPr>
                  <w:r>
                    <w:rPr>
                      <w:color w:val="231F20"/>
                      <w:spacing w:val="15"/>
                    </w:rPr>
                    <w:t>压力情景 。按照投资对象和投资策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  <w:spacing w:val="5"/>
                    </w:rPr>
                    <w:t>略等因素，公募基金可分为普通股票型基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5"/>
                    </w:rPr>
                    <w:t>金、被动指数型基金、中长期纯债型基金</w:t>
                  </w:r>
                </w:p>
              </w:txbxContent>
            </v:textbox>
          </v:shape>
        </w:pict>
      </w:r>
      <w:r>
        <w:rPr>
          <w:position w:val="-63"/>
        </w:rPr>
        <w:pict>
          <v:shape id="_x0000_s124" style="mso-position-vertical-relative:line;mso-position-horizontal-relative:char;width:222.55pt;height:159.2pt;" fillcolor="#D4E5F5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89" w:right="283" w:firstLine="5"/>
                    <w:spacing w:before="225" w:line="255" w:lineRule="auto"/>
                    <w:jc w:val="both"/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</w:rPr>
                  </w:pP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3"/>
                    </w:rPr>
                    <w:t>等20个类型，不同类型公募基金历史净赎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5"/>
                    </w:rPr>
                    <w:t>回率分布之间存在差异，根据历史申购赎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5"/>
                    </w:rPr>
                    <w:t>回数据对每一类型公募基金按照赎回冲击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5"/>
                    </w:rPr>
                    <w:t>程度设置轻度和重度两个压力情景，分别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-4"/>
                    </w:rPr>
                    <w:t>对应在险价值（VaR）处于90%和95%置信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rFonts w:ascii="Noto Sans CJK SC Regular" w:hAnsi="Noto Sans CJK SC Regular" w:eastAsia="Noto Sans CJK SC Regular" w:cs="Noto Sans CJK SC Regular"/>
                      <w:sz w:val="21"/>
                      <w:szCs w:val="21"/>
                      <w:color w:val="231F20"/>
                      <w:spacing w:val="-3"/>
                    </w:rPr>
                    <w:t>水平下的净赎回率水平（见表1）。</w:t>
                  </w:r>
                </w:p>
              </w:txbxContent>
            </v:textbox>
          </v:shape>
        </w:pict>
      </w:r>
    </w:p>
    <w:p>
      <w:pPr>
        <w:pStyle w:val="BodyText"/>
        <w:ind w:left="415"/>
        <w:spacing w:before="132" w:line="208" w:lineRule="auto"/>
        <w:rPr/>
      </w:pPr>
      <w:r>
        <w:drawing>
          <wp:anchor distT="0" distB="0" distL="0" distR="0" simplePos="0" relativeHeight="2520197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-2021876</wp:posOffset>
            </wp:positionV>
            <wp:extent cx="5579999" cy="7217993"/>
            <wp:effectExtent l="0" t="0" r="0" b="0"/>
            <wp:wrapNone/>
            <wp:docPr id="366" name="IM 366"/>
            <wp:cNvGraphicFramePr/>
            <a:graphic>
              <a:graphicData uri="http://schemas.openxmlformats.org/drawingml/2006/picture">
                <pic:pic>
                  <pic:nvPicPr>
                    <pic:cNvPr id="366" name="IM 366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579999" cy="721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4B8B"/>
          <w:spacing w:val="-1"/>
        </w:rPr>
        <w:t>表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1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 xml:space="preserve">                                      </w:t>
      </w:r>
      <w:r>
        <w:rPr>
          <w:rFonts w:ascii="Times New Roman" w:hAnsi="Times New Roman" w:eastAsia="Times New Roman" w:cs="Times New Roman"/>
          <w:b/>
          <w:bCs/>
          <w:color w:val="174B8B"/>
        </w:rPr>
        <w:t xml:space="preserve">           </w:t>
      </w:r>
      <w:r>
        <w:rPr>
          <w:color w:val="174B8B"/>
          <w:spacing w:val="-1"/>
        </w:rPr>
        <w:t>压力情景下的赎回冲击</w:t>
      </w:r>
    </w:p>
    <w:p>
      <w:pPr>
        <w:spacing w:line="22" w:lineRule="exact"/>
        <w:rPr/>
      </w:pPr>
      <w:r/>
    </w:p>
    <w:tbl>
      <w:tblPr>
        <w:tblStyle w:val="TableNormal"/>
        <w:tblW w:w="8510" w:type="dxa"/>
        <w:tblInd w:w="138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05"/>
        <w:gridCol w:w="2386"/>
        <w:gridCol w:w="2880"/>
        <w:gridCol w:w="2739"/>
      </w:tblGrid>
      <w:tr>
        <w:trPr>
          <w:trHeight w:val="329" w:hRule="atLeast"/>
        </w:trPr>
        <w:tc>
          <w:tcPr>
            <w:shd w:val="clear" w:fill="174B8B"/>
            <w:tcW w:w="505" w:type="dxa"/>
            <w:vAlign w:val="top"/>
            <w:vMerge w:val="restart"/>
            <w:textDirection w:val="tbRlV"/>
            <w:tcBorders>
              <w:left w:val="nil"/>
              <w:top w:val="single" w:color="FFFFFF" w:sz="8" w:space="0"/>
              <w:bottom w:val="nil"/>
            </w:tcBorders>
          </w:tcPr>
          <w:p>
            <w:pPr>
              <w:pStyle w:val="TableText"/>
              <w:ind w:left="101"/>
              <w:spacing w:before="156" w:line="177" w:lineRule="auto"/>
              <w:rPr/>
            </w:pPr>
            <w:r>
              <w:rPr>
                <w:color w:val="FFFFFF"/>
                <w:spacing w:val="-10"/>
              </w:rPr>
              <w:t>序</w:t>
            </w:r>
            <w:r>
              <w:rPr>
                <w:color w:val="FFFFFF"/>
                <w:spacing w:val="1"/>
              </w:rPr>
              <w:t xml:space="preserve">  </w:t>
            </w:r>
            <w:r>
              <w:rPr>
                <w:color w:val="FFFFFF"/>
                <w:spacing w:val="-10"/>
              </w:rPr>
              <w:t>号</w:t>
            </w:r>
          </w:p>
        </w:tc>
        <w:tc>
          <w:tcPr>
            <w:shd w:val="clear" w:fill="174B8B"/>
            <w:tcW w:w="2386" w:type="dxa"/>
            <w:vAlign w:val="top"/>
            <w:vMerge w:val="restart"/>
            <w:tcBorders>
              <w:top w:val="single" w:color="FFFFFF" w:sz="8" w:space="0"/>
              <w:bottom w:val="nil"/>
            </w:tcBorders>
          </w:tcPr>
          <w:p>
            <w:pPr>
              <w:pStyle w:val="TableText"/>
              <w:ind w:left="833"/>
              <w:spacing w:before="218" w:line="173" w:lineRule="auto"/>
              <w:rPr/>
            </w:pPr>
            <w:r>
              <w:rPr>
                <w:color w:val="FFFFFF"/>
                <w:spacing w:val="-2"/>
              </w:rPr>
              <w:t>基金类型</w:t>
            </w:r>
          </w:p>
        </w:tc>
        <w:tc>
          <w:tcPr>
            <w:shd w:val="clear" w:fill="174B8B"/>
            <w:tcW w:w="2880" w:type="dxa"/>
            <w:vAlign w:val="top"/>
            <w:tcBorders>
              <w:top w:val="single" w:color="FFFFFF" w:sz="8" w:space="0"/>
            </w:tcBorders>
          </w:tcPr>
          <w:p>
            <w:pPr>
              <w:pStyle w:val="TableText"/>
              <w:ind w:left="903"/>
              <w:spacing w:before="70" w:line="172" w:lineRule="auto"/>
              <w:rPr/>
            </w:pPr>
            <w:r>
              <w:rPr>
                <w:color w:val="FFFFFF"/>
                <w:spacing w:val="-2"/>
              </w:rPr>
              <w:t>轻度压力情景</w:t>
            </w:r>
          </w:p>
        </w:tc>
        <w:tc>
          <w:tcPr>
            <w:shd w:val="clear" w:fill="174B8B"/>
            <w:tcW w:w="2739" w:type="dxa"/>
            <w:vAlign w:val="top"/>
            <w:tcBorders>
              <w:right w:val="nil"/>
              <w:top w:val="single" w:color="FFFFFF" w:sz="8" w:space="0"/>
            </w:tcBorders>
          </w:tcPr>
          <w:p>
            <w:pPr>
              <w:pStyle w:val="TableText"/>
              <w:ind w:left="833"/>
              <w:spacing w:before="70" w:line="172" w:lineRule="auto"/>
              <w:rPr/>
            </w:pPr>
            <w:r>
              <w:rPr>
                <w:color w:val="FFFFFF"/>
                <w:spacing w:val="-2"/>
              </w:rPr>
              <w:t>重度压力情景</w:t>
            </w:r>
          </w:p>
        </w:tc>
      </w:tr>
      <w:tr>
        <w:trPr>
          <w:trHeight w:val="307" w:hRule="atLeast"/>
        </w:trPr>
        <w:tc>
          <w:tcPr>
            <w:tcW w:w="505" w:type="dxa"/>
            <w:vAlign w:val="top"/>
            <w:vMerge w:val="continue"/>
            <w:textDirection w:val="tbRlV"/>
            <w:tcBorders>
              <w:lef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2386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174B8B"/>
            <w:tcW w:w="2880" w:type="dxa"/>
            <w:vAlign w:val="top"/>
          </w:tcPr>
          <w:p>
            <w:pPr>
              <w:pStyle w:val="TableText"/>
              <w:ind w:left="184"/>
              <w:spacing w:before="25" w:line="188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6"/>
              </w:rPr>
              <w:t>90%VaR</w:t>
            </w:r>
            <w:r>
              <w:rPr>
                <w:color w:val="FFFFFF"/>
                <w:spacing w:val="-6"/>
              </w:rPr>
              <w:t>水平下净赎回率（</w:t>
            </w:r>
            <w:r>
              <w:rPr>
                <w:color w:val="FFFFFF"/>
                <w:spacing w:val="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6"/>
              </w:rPr>
              <w:t>%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10"/>
              </w:rPr>
              <w:t xml:space="preserve"> </w:t>
            </w:r>
            <w:r>
              <w:rPr>
                <w:color w:val="FFFFFF"/>
                <w:spacing w:val="-6"/>
              </w:rPr>
              <w:t>）</w:t>
            </w:r>
          </w:p>
        </w:tc>
        <w:tc>
          <w:tcPr>
            <w:shd w:val="clear" w:fill="174B8B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4"/>
              <w:spacing w:before="25" w:line="188" w:lineRule="auto"/>
              <w:rPr/>
            </w:pP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6"/>
              </w:rPr>
              <w:t>95%VaR</w:t>
            </w:r>
            <w:r>
              <w:rPr>
                <w:color w:val="FFFFFF"/>
                <w:spacing w:val="-6"/>
              </w:rPr>
              <w:t>水平下净赎回率（</w:t>
            </w:r>
            <w:r>
              <w:rPr>
                <w:color w:val="FFFFFF"/>
                <w:spacing w:val="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6"/>
              </w:rPr>
              <w:t>%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10"/>
              </w:rPr>
              <w:t xml:space="preserve"> </w:t>
            </w:r>
            <w:r>
              <w:rPr>
                <w:color w:val="FFFFFF"/>
                <w:spacing w:val="-6"/>
              </w:rPr>
              <w:t>）</w:t>
            </w:r>
          </w:p>
        </w:tc>
      </w:tr>
      <w:tr>
        <w:trPr>
          <w:trHeight w:val="309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227"/>
              <w:spacing w:before="46" w:line="175" w:lineRule="auto"/>
              <w:rPr/>
            </w:pPr>
            <w:r>
              <w:rPr>
                <w:color w:val="231F20"/>
              </w:rPr>
              <w:t>1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560"/>
              <w:spacing w:before="50" w:line="172" w:lineRule="auto"/>
              <w:rPr/>
            </w:pPr>
            <w:r>
              <w:rPr>
                <w:color w:val="231F20"/>
                <w:spacing w:val="-1"/>
              </w:rPr>
              <w:t>普通股票型基金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9"/>
              <w:spacing w:before="46" w:line="175" w:lineRule="auto"/>
              <w:rPr/>
            </w:pPr>
            <w:r>
              <w:rPr>
                <w:color w:val="231F20"/>
                <w:spacing w:val="-9"/>
              </w:rPr>
              <w:t>26.08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71"/>
              <w:spacing w:before="46" w:line="175" w:lineRule="auto"/>
              <w:rPr/>
            </w:pPr>
            <w:r>
              <w:rPr>
                <w:color w:val="231F20"/>
                <w:spacing w:val="-9"/>
              </w:rPr>
              <w:t>38.87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212"/>
              <w:spacing w:before="47" w:line="175" w:lineRule="auto"/>
              <w:rPr/>
            </w:pPr>
            <w:r>
              <w:rPr>
                <w:color w:val="231F20"/>
              </w:rPr>
              <w:t>2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562"/>
              <w:spacing w:before="53" w:line="171" w:lineRule="auto"/>
              <w:rPr/>
            </w:pPr>
            <w:r>
              <w:rPr>
                <w:color w:val="231F20"/>
                <w:spacing w:val="-1"/>
              </w:rPr>
              <w:t>被动指数型基金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9"/>
              <w:spacing w:before="47" w:line="175" w:lineRule="auto"/>
              <w:rPr/>
            </w:pPr>
            <w:r>
              <w:rPr>
                <w:color w:val="231F20"/>
                <w:spacing w:val="-9"/>
              </w:rPr>
              <w:t>23.33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71"/>
              <w:spacing w:before="47" w:line="175" w:lineRule="auto"/>
              <w:rPr/>
            </w:pPr>
            <w:r>
              <w:rPr>
                <w:color w:val="231F20"/>
                <w:spacing w:val="-9"/>
              </w:rPr>
              <w:t>38.07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215"/>
              <w:spacing w:before="48" w:line="174" w:lineRule="auto"/>
              <w:rPr/>
            </w:pPr>
            <w:r>
              <w:rPr>
                <w:color w:val="231F20"/>
              </w:rPr>
              <w:t>3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560"/>
              <w:spacing w:before="53" w:line="171" w:lineRule="auto"/>
              <w:rPr/>
            </w:pPr>
            <w:r>
              <w:rPr>
                <w:color w:val="231F20"/>
                <w:spacing w:val="-1"/>
              </w:rPr>
              <w:t>增强指数型基金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9"/>
              <w:spacing w:before="48" w:line="174" w:lineRule="auto"/>
              <w:rPr/>
            </w:pPr>
            <w:r>
              <w:rPr>
                <w:color w:val="231F20"/>
                <w:spacing w:val="-9"/>
              </w:rPr>
              <w:t>26.48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6"/>
              <w:spacing w:before="48" w:line="174" w:lineRule="auto"/>
              <w:rPr/>
            </w:pPr>
            <w:r>
              <w:rPr>
                <w:color w:val="231F20"/>
                <w:spacing w:val="-8"/>
              </w:rPr>
              <w:t>42.55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210"/>
              <w:spacing w:before="48" w:line="174" w:lineRule="auto"/>
              <w:rPr/>
            </w:pPr>
            <w:r>
              <w:rPr>
                <w:color w:val="231F20"/>
              </w:rPr>
              <w:t>4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560"/>
              <w:spacing w:before="51" w:line="172" w:lineRule="auto"/>
              <w:rPr/>
            </w:pPr>
            <w:r>
              <w:rPr>
                <w:color w:val="231F20"/>
                <w:spacing w:val="-1"/>
              </w:rPr>
              <w:t>偏股混合型基金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9"/>
              <w:spacing w:before="48" w:line="174" w:lineRule="auto"/>
              <w:rPr/>
            </w:pPr>
            <w:r>
              <w:rPr>
                <w:color w:val="231F20"/>
                <w:spacing w:val="-9"/>
              </w:rPr>
              <w:t>23.33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71"/>
              <w:spacing w:before="48" w:line="174" w:lineRule="auto"/>
              <w:rPr/>
            </w:pPr>
            <w:r>
              <w:rPr>
                <w:color w:val="231F20"/>
                <w:spacing w:val="-9"/>
              </w:rPr>
              <w:t>36.16</w:t>
            </w:r>
          </w:p>
        </w:tc>
      </w:tr>
      <w:tr>
        <w:trPr>
          <w:trHeight w:val="309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213"/>
              <w:spacing w:before="49" w:line="173" w:lineRule="auto"/>
              <w:rPr/>
            </w:pPr>
            <w:r>
              <w:rPr>
                <w:color w:val="231F20"/>
              </w:rPr>
              <w:t>5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560"/>
              <w:spacing w:before="52" w:line="171" w:lineRule="auto"/>
              <w:rPr/>
            </w:pPr>
            <w:r>
              <w:rPr>
                <w:color w:val="231F20"/>
                <w:spacing w:val="-1"/>
              </w:rPr>
              <w:t>平衡混合型基金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53"/>
              <w:spacing w:before="49" w:line="173" w:lineRule="auto"/>
              <w:rPr/>
            </w:pPr>
            <w:r>
              <w:rPr>
                <w:color w:val="231F20"/>
                <w:spacing w:val="-11"/>
              </w:rPr>
              <w:t>18.25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8"/>
              <w:spacing w:before="49" w:line="173" w:lineRule="auto"/>
              <w:rPr/>
            </w:pPr>
            <w:r>
              <w:rPr>
                <w:color w:val="231F20"/>
                <w:spacing w:val="-9"/>
              </w:rPr>
              <w:t>28.62</w:t>
            </w:r>
          </w:p>
        </w:tc>
      </w:tr>
      <w:tr>
        <w:trPr>
          <w:trHeight w:val="309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213"/>
              <w:spacing w:before="50" w:line="172" w:lineRule="auto"/>
              <w:rPr/>
            </w:pPr>
            <w:r>
              <w:rPr>
                <w:color w:val="231F20"/>
              </w:rPr>
              <w:t>6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560"/>
              <w:spacing w:before="53" w:line="170" w:lineRule="auto"/>
              <w:rPr/>
            </w:pPr>
            <w:r>
              <w:rPr>
                <w:color w:val="231F20"/>
                <w:spacing w:val="-1"/>
              </w:rPr>
              <w:t>偏债混合型基金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41"/>
              <w:spacing w:before="50" w:line="172" w:lineRule="auto"/>
              <w:rPr/>
            </w:pPr>
            <w:r>
              <w:rPr>
                <w:color w:val="231F20"/>
                <w:spacing w:val="-9"/>
              </w:rPr>
              <w:t>34.07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6"/>
              <w:spacing w:before="50" w:line="172" w:lineRule="auto"/>
              <w:rPr/>
            </w:pPr>
            <w:r>
              <w:rPr>
                <w:color w:val="231F20"/>
                <w:spacing w:val="-8"/>
              </w:rPr>
              <w:t>48.61</w:t>
            </w:r>
          </w:p>
        </w:tc>
      </w:tr>
      <w:tr>
        <w:trPr>
          <w:trHeight w:val="309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211"/>
              <w:spacing w:before="52" w:line="171" w:lineRule="auto"/>
              <w:rPr/>
            </w:pPr>
            <w:r>
              <w:rPr>
                <w:color w:val="231F20"/>
              </w:rPr>
              <w:t>7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560"/>
              <w:spacing w:before="62" w:line="164" w:lineRule="auto"/>
              <w:rPr/>
            </w:pPr>
            <w:r>
              <w:rPr>
                <w:color w:val="231F20"/>
                <w:spacing w:val="-1"/>
              </w:rPr>
              <w:t>灵活配置型基金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41"/>
              <w:spacing w:before="52" w:line="171" w:lineRule="auto"/>
              <w:rPr/>
            </w:pPr>
            <w:r>
              <w:rPr>
                <w:color w:val="231F20"/>
                <w:spacing w:val="-9"/>
              </w:rPr>
              <w:t>32.20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9"/>
              <w:spacing w:before="52" w:line="171" w:lineRule="auto"/>
              <w:rPr/>
            </w:pPr>
            <w:r>
              <w:rPr>
                <w:color w:val="231F20"/>
                <w:spacing w:val="-9"/>
              </w:rPr>
              <w:t>50.69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214"/>
              <w:spacing w:before="54" w:line="170" w:lineRule="auto"/>
              <w:rPr/>
            </w:pPr>
            <w:r>
              <w:rPr>
                <w:color w:val="231F20"/>
              </w:rPr>
              <w:t>8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489"/>
              <w:spacing w:before="59" w:line="167" w:lineRule="auto"/>
              <w:rPr/>
            </w:pPr>
            <w:r>
              <w:rPr>
                <w:color w:val="231F20"/>
                <w:spacing w:val="-3"/>
              </w:rPr>
              <w:t>中长期纯债型基金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41"/>
              <w:spacing w:before="54" w:line="170" w:lineRule="auto"/>
              <w:rPr/>
            </w:pPr>
            <w:r>
              <w:rPr>
                <w:color w:val="231F20"/>
                <w:spacing w:val="-9"/>
              </w:rPr>
              <w:t>37.48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9"/>
              <w:spacing w:before="54" w:line="170" w:lineRule="auto"/>
              <w:rPr/>
            </w:pPr>
            <w:r>
              <w:rPr>
                <w:color w:val="231F20"/>
                <w:spacing w:val="-9"/>
              </w:rPr>
              <w:t>59.84</w:t>
            </w:r>
          </w:p>
        </w:tc>
      </w:tr>
      <w:tr>
        <w:trPr>
          <w:trHeight w:val="309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212"/>
              <w:spacing w:before="55" w:line="169" w:lineRule="auto"/>
              <w:rPr/>
            </w:pPr>
            <w:r>
              <w:rPr>
                <w:color w:val="231F20"/>
              </w:rPr>
              <w:t>9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562"/>
              <w:spacing w:before="59" w:line="166" w:lineRule="auto"/>
              <w:rPr/>
            </w:pPr>
            <w:r>
              <w:rPr>
                <w:color w:val="231F20"/>
                <w:spacing w:val="-1"/>
              </w:rPr>
              <w:t>短期纯债型基金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9"/>
              <w:spacing w:before="55" w:line="169" w:lineRule="auto"/>
              <w:rPr/>
            </w:pPr>
            <w:r>
              <w:rPr>
                <w:color w:val="231F20"/>
                <w:spacing w:val="-9"/>
              </w:rPr>
              <w:t>50.28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9"/>
              <w:spacing w:before="55" w:line="169" w:lineRule="auto"/>
              <w:rPr/>
            </w:pPr>
            <w:r>
              <w:rPr>
                <w:color w:val="231F20"/>
                <w:spacing w:val="-9"/>
              </w:rPr>
              <w:t>69.83</w:t>
            </w:r>
          </w:p>
        </w:tc>
      </w:tr>
      <w:tr>
        <w:trPr>
          <w:trHeight w:val="309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56" w:line="168" w:lineRule="auto"/>
              <w:rPr/>
            </w:pPr>
            <w:r>
              <w:rPr>
                <w:color w:val="231F20"/>
                <w:spacing w:val="-11"/>
              </w:rPr>
              <w:t>10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382"/>
              <w:spacing w:before="59" w:line="166" w:lineRule="auto"/>
              <w:rPr/>
            </w:pPr>
            <w:r>
              <w:rPr>
                <w:color w:val="231F20"/>
                <w:spacing w:val="-1"/>
              </w:rPr>
              <w:t>混合债券型一级基金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6"/>
              <w:spacing w:before="56" w:line="168" w:lineRule="auto"/>
              <w:rPr/>
            </w:pPr>
            <w:r>
              <w:rPr>
                <w:color w:val="231F20"/>
                <w:spacing w:val="-8"/>
              </w:rPr>
              <w:t>40.65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9"/>
              <w:spacing w:before="56" w:line="168" w:lineRule="auto"/>
              <w:rPr/>
            </w:pPr>
            <w:r>
              <w:rPr>
                <w:color w:val="231F20"/>
                <w:spacing w:val="-9"/>
              </w:rPr>
              <w:t>57.76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57" w:line="168" w:lineRule="auto"/>
              <w:rPr/>
            </w:pPr>
            <w:r>
              <w:rPr>
                <w:color w:val="231F20"/>
                <w:spacing w:val="-11"/>
              </w:rPr>
              <w:t>11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382"/>
              <w:spacing w:before="60" w:line="166" w:lineRule="auto"/>
              <w:rPr/>
            </w:pPr>
            <w:r>
              <w:rPr>
                <w:color w:val="231F20"/>
                <w:spacing w:val="-1"/>
              </w:rPr>
              <w:t>混合债券型二级基金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41"/>
              <w:spacing w:before="57" w:line="168" w:lineRule="auto"/>
              <w:rPr/>
            </w:pPr>
            <w:r>
              <w:rPr>
                <w:color w:val="231F20"/>
                <w:spacing w:val="-9"/>
              </w:rPr>
              <w:t>38.06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9"/>
              <w:spacing w:before="57" w:line="168" w:lineRule="auto"/>
              <w:rPr/>
            </w:pPr>
            <w:r>
              <w:rPr>
                <w:color w:val="231F20"/>
                <w:spacing w:val="-9"/>
              </w:rPr>
              <w:t>55.34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59" w:line="167" w:lineRule="auto"/>
              <w:rPr/>
            </w:pPr>
            <w:r>
              <w:rPr>
                <w:color w:val="231F20"/>
                <w:spacing w:val="-11"/>
              </w:rPr>
              <w:t>12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382"/>
              <w:spacing w:before="61" w:line="165" w:lineRule="auto"/>
              <w:rPr/>
            </w:pPr>
            <w:r>
              <w:rPr>
                <w:color w:val="231F20"/>
                <w:spacing w:val="-1"/>
              </w:rPr>
              <w:t>被动指数型债券基金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9"/>
              <w:spacing w:before="59" w:line="167" w:lineRule="auto"/>
              <w:rPr/>
            </w:pPr>
            <w:r>
              <w:rPr>
                <w:color w:val="231F20"/>
                <w:spacing w:val="-9"/>
              </w:rPr>
              <w:t>51.13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9"/>
              <w:spacing w:before="59" w:line="167" w:lineRule="auto"/>
              <w:rPr/>
            </w:pPr>
            <w:r>
              <w:rPr>
                <w:color w:val="231F20"/>
                <w:spacing w:val="-9"/>
              </w:rPr>
              <w:t>67.63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59" w:line="167" w:lineRule="auto"/>
              <w:rPr/>
            </w:pPr>
            <w:r>
              <w:rPr>
                <w:color w:val="231F20"/>
                <w:spacing w:val="-11"/>
              </w:rPr>
              <w:t>13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380"/>
              <w:spacing w:before="63" w:line="164" w:lineRule="auto"/>
              <w:rPr/>
            </w:pPr>
            <w:r>
              <w:rPr>
                <w:color w:val="231F20"/>
                <w:spacing w:val="-1"/>
              </w:rPr>
              <w:t>增强指数型债券基金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53"/>
              <w:spacing w:before="59" w:line="167" w:lineRule="auto"/>
              <w:rPr/>
            </w:pPr>
            <w:r>
              <w:rPr>
                <w:color w:val="231F20"/>
                <w:spacing w:val="-11"/>
              </w:rPr>
              <w:t>18.38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71"/>
              <w:spacing w:before="59" w:line="167" w:lineRule="auto"/>
              <w:rPr/>
            </w:pPr>
            <w:r>
              <w:rPr>
                <w:color w:val="231F20"/>
                <w:spacing w:val="-9"/>
              </w:rPr>
              <w:t>33.55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59" w:line="167" w:lineRule="auto"/>
              <w:rPr/>
            </w:pPr>
            <w:r>
              <w:rPr>
                <w:color w:val="231F20"/>
                <w:spacing w:val="-11"/>
              </w:rPr>
              <w:t>14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474"/>
              <w:spacing w:before="63" w:line="164" w:lineRule="auto"/>
              <w:rPr/>
            </w:pPr>
            <w:r>
              <w:rPr>
                <w:color w:val="231F20"/>
                <w:spacing w:val="-1"/>
              </w:rPr>
              <w:t>可转换债券型基金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41"/>
              <w:spacing w:before="59" w:line="167" w:lineRule="auto"/>
              <w:rPr/>
            </w:pPr>
            <w:r>
              <w:rPr>
                <w:color w:val="231F20"/>
                <w:spacing w:val="-9"/>
              </w:rPr>
              <w:t>34.06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6"/>
              <w:spacing w:before="59" w:line="167" w:lineRule="auto"/>
              <w:rPr/>
            </w:pPr>
            <w:r>
              <w:rPr>
                <w:color w:val="231F20"/>
                <w:spacing w:val="-8"/>
              </w:rPr>
              <w:t>48.46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60" w:line="166" w:lineRule="auto"/>
              <w:rPr/>
            </w:pPr>
            <w:r>
              <w:rPr>
                <w:color w:val="231F20"/>
                <w:spacing w:val="-11"/>
              </w:rPr>
              <w:t>15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560"/>
              <w:spacing w:before="63" w:line="164" w:lineRule="auto"/>
              <w:rPr/>
            </w:pPr>
            <w:r>
              <w:rPr>
                <w:color w:val="231F20"/>
                <w:spacing w:val="-1"/>
              </w:rPr>
              <w:t>货币市场型基金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41"/>
              <w:spacing w:before="60" w:line="166" w:lineRule="auto"/>
              <w:rPr/>
            </w:pPr>
            <w:r>
              <w:rPr>
                <w:color w:val="231F20"/>
                <w:spacing w:val="-9"/>
              </w:rPr>
              <w:t>35.04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9"/>
              <w:spacing w:before="60" w:line="166" w:lineRule="auto"/>
              <w:rPr/>
            </w:pPr>
            <w:r>
              <w:rPr>
                <w:color w:val="231F20"/>
                <w:spacing w:val="-9"/>
              </w:rPr>
              <w:t>51.61</w:t>
            </w:r>
          </w:p>
        </w:tc>
      </w:tr>
      <w:tr>
        <w:trPr>
          <w:trHeight w:val="309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60" w:line="165" w:lineRule="auto"/>
              <w:rPr/>
            </w:pPr>
            <w:r>
              <w:rPr>
                <w:color w:val="231F20"/>
                <w:spacing w:val="-11"/>
              </w:rPr>
              <w:t>16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472"/>
              <w:spacing w:before="65" w:line="162" w:lineRule="auto"/>
              <w:rPr/>
            </w:pPr>
            <w:r>
              <w:rPr>
                <w:color w:val="231F20"/>
                <w:spacing w:val="-1"/>
              </w:rPr>
              <w:t>股票多空策略基金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6"/>
              <w:spacing w:before="60" w:line="165" w:lineRule="auto"/>
              <w:rPr/>
            </w:pPr>
            <w:r>
              <w:rPr>
                <w:color w:val="231F20"/>
                <w:spacing w:val="-8"/>
              </w:rPr>
              <w:t>43.97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9"/>
              <w:spacing w:before="60" w:line="165" w:lineRule="auto"/>
              <w:rPr/>
            </w:pPr>
            <w:r>
              <w:rPr>
                <w:color w:val="231F20"/>
                <w:spacing w:val="-9"/>
              </w:rPr>
              <w:t>57.72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61" w:line="165" w:lineRule="auto"/>
              <w:rPr/>
            </w:pPr>
            <w:r>
              <w:rPr>
                <w:color w:val="231F20"/>
                <w:spacing w:val="-11"/>
              </w:rPr>
              <w:t>17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742"/>
              <w:spacing w:before="61" w:line="165" w:lineRule="auto"/>
              <w:rPr/>
            </w:pPr>
            <w:r>
              <w:rPr>
                <w:color w:val="231F20"/>
                <w:spacing w:val="-1"/>
              </w:rPr>
              <w:t>商品型基金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9"/>
              <w:spacing w:before="61" w:line="165" w:lineRule="auto"/>
              <w:rPr/>
            </w:pPr>
            <w:r>
              <w:rPr>
                <w:color w:val="231F20"/>
                <w:spacing w:val="-9"/>
              </w:rPr>
              <w:t>26.14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6"/>
              <w:spacing w:before="61" w:line="165" w:lineRule="auto"/>
              <w:rPr/>
            </w:pPr>
            <w:r>
              <w:rPr>
                <w:color w:val="231F20"/>
                <w:spacing w:val="-8"/>
              </w:rPr>
              <w:t>43.08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63" w:line="164" w:lineRule="auto"/>
              <w:rPr/>
            </w:pPr>
            <w:r>
              <w:rPr>
                <w:color w:val="231F20"/>
                <w:spacing w:val="-11"/>
              </w:rPr>
              <w:t>18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220"/>
              <w:spacing w:before="63" w:line="164" w:lineRule="auto"/>
              <w:rPr/>
            </w:pPr>
            <w:r>
              <w:rPr>
                <w:color w:val="231F20"/>
                <w:spacing w:val="-2"/>
              </w:rPr>
              <w:t>国际（QDII）股票型基金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39"/>
              <w:spacing w:before="63" w:line="164" w:lineRule="auto"/>
              <w:rPr/>
            </w:pPr>
            <w:r>
              <w:rPr>
                <w:color w:val="231F20"/>
                <w:spacing w:val="-9"/>
              </w:rPr>
              <w:t>20.38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71"/>
              <w:spacing w:before="63" w:line="164" w:lineRule="auto"/>
              <w:rPr/>
            </w:pPr>
            <w:r>
              <w:rPr>
                <w:color w:val="231F20"/>
                <w:spacing w:val="-9"/>
              </w:rPr>
              <w:t>31.07</w:t>
            </w:r>
          </w:p>
        </w:tc>
      </w:tr>
      <w:tr>
        <w:trPr>
          <w:trHeight w:val="310" w:hRule="atLeast"/>
        </w:trPr>
        <w:tc>
          <w:tcPr>
            <w:shd w:val="clear" w:fill="D4E5F5"/>
            <w:tcW w:w="505" w:type="dxa"/>
            <w:vAlign w:val="top"/>
            <w:tcBorders>
              <w:left w:val="nil"/>
            </w:tcBorders>
          </w:tcPr>
          <w:p>
            <w:pPr>
              <w:pStyle w:val="TableText"/>
              <w:ind w:left="182"/>
              <w:spacing w:before="63" w:line="164" w:lineRule="auto"/>
              <w:rPr/>
            </w:pPr>
            <w:r>
              <w:rPr>
                <w:color w:val="231F20"/>
                <w:spacing w:val="-11"/>
              </w:rPr>
              <w:t>19</w:t>
            </w:r>
          </w:p>
        </w:tc>
        <w:tc>
          <w:tcPr>
            <w:shd w:val="clear" w:fill="D4E5F5"/>
            <w:tcW w:w="2386" w:type="dxa"/>
            <w:vAlign w:val="top"/>
          </w:tcPr>
          <w:p>
            <w:pPr>
              <w:pStyle w:val="TableText"/>
              <w:ind w:left="220"/>
              <w:spacing w:before="63" w:line="164" w:lineRule="auto"/>
              <w:rPr/>
            </w:pPr>
            <w:r>
              <w:rPr>
                <w:color w:val="231F20"/>
                <w:spacing w:val="-2"/>
              </w:rPr>
              <w:t>国际（QDII）混合型基金</w:t>
            </w:r>
          </w:p>
        </w:tc>
        <w:tc>
          <w:tcPr>
            <w:shd w:val="clear" w:fill="D4E5F5"/>
            <w:tcW w:w="2880" w:type="dxa"/>
            <w:vAlign w:val="top"/>
          </w:tcPr>
          <w:p>
            <w:pPr>
              <w:pStyle w:val="TableText"/>
              <w:ind w:left="1253"/>
              <w:spacing w:before="63" w:line="164" w:lineRule="auto"/>
              <w:rPr/>
            </w:pPr>
            <w:r>
              <w:rPr>
                <w:color w:val="231F20"/>
                <w:spacing w:val="-11"/>
              </w:rPr>
              <w:t>18.01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</w:tcBorders>
          </w:tcPr>
          <w:p>
            <w:pPr>
              <w:pStyle w:val="TableText"/>
              <w:ind w:left="1168"/>
              <w:spacing w:before="63" w:line="164" w:lineRule="auto"/>
              <w:rPr/>
            </w:pPr>
            <w:r>
              <w:rPr>
                <w:color w:val="231F20"/>
                <w:spacing w:val="-9"/>
              </w:rPr>
              <w:t>27.56</w:t>
            </w:r>
          </w:p>
        </w:tc>
      </w:tr>
      <w:tr>
        <w:trPr>
          <w:trHeight w:val="319" w:hRule="atLeast"/>
        </w:trPr>
        <w:tc>
          <w:tcPr>
            <w:shd w:val="clear" w:fill="D4E5F5"/>
            <w:tcW w:w="505" w:type="dxa"/>
            <w:vAlign w:val="top"/>
            <w:tcBorders>
              <w:left w:val="nil"/>
              <w:bottom w:val="single" w:color="FFFFFF" w:sz="8" w:space="0"/>
            </w:tcBorders>
          </w:tcPr>
          <w:p>
            <w:pPr>
              <w:pStyle w:val="TableText"/>
              <w:ind w:left="168"/>
              <w:spacing w:before="63" w:line="170" w:lineRule="auto"/>
              <w:rPr/>
            </w:pPr>
            <w:r>
              <w:rPr>
                <w:color w:val="231F20"/>
                <w:spacing w:val="-7"/>
              </w:rPr>
              <w:t>20</w:t>
            </w:r>
          </w:p>
        </w:tc>
        <w:tc>
          <w:tcPr>
            <w:shd w:val="clear" w:fill="D4E5F5"/>
            <w:tcW w:w="2386" w:type="dxa"/>
            <w:vAlign w:val="top"/>
            <w:tcBorders>
              <w:bottom w:val="single" w:color="FFFFFF" w:sz="8" w:space="0"/>
            </w:tcBorders>
          </w:tcPr>
          <w:p>
            <w:pPr>
              <w:pStyle w:val="TableText"/>
              <w:ind w:left="130"/>
              <w:spacing w:before="63" w:line="170" w:lineRule="auto"/>
              <w:rPr/>
            </w:pPr>
            <w:r>
              <w:rPr>
                <w:color w:val="231F20"/>
                <w:spacing w:val="-2"/>
              </w:rPr>
              <w:t>国际（QDII）另类投资基金</w:t>
            </w:r>
          </w:p>
        </w:tc>
        <w:tc>
          <w:tcPr>
            <w:shd w:val="clear" w:fill="D4E5F5"/>
            <w:tcW w:w="2880" w:type="dxa"/>
            <w:vAlign w:val="top"/>
            <w:tcBorders>
              <w:bottom w:val="single" w:color="FFFFFF" w:sz="8" w:space="0"/>
            </w:tcBorders>
          </w:tcPr>
          <w:p>
            <w:pPr>
              <w:pStyle w:val="TableText"/>
              <w:ind w:left="1239"/>
              <w:spacing w:before="63" w:line="170" w:lineRule="auto"/>
              <w:rPr/>
            </w:pPr>
            <w:r>
              <w:rPr>
                <w:color w:val="231F20"/>
                <w:spacing w:val="-9"/>
              </w:rPr>
              <w:t>22.15</w:t>
            </w:r>
          </w:p>
        </w:tc>
        <w:tc>
          <w:tcPr>
            <w:shd w:val="clear" w:fill="D4E5F5"/>
            <w:tcW w:w="2739" w:type="dxa"/>
            <w:vAlign w:val="top"/>
            <w:tcBorders>
              <w:right w:val="nil"/>
              <w:bottom w:val="single" w:color="FFFFFF" w:sz="8" w:space="0"/>
            </w:tcBorders>
          </w:tcPr>
          <w:p>
            <w:pPr>
              <w:pStyle w:val="TableText"/>
              <w:ind w:left="1171"/>
              <w:spacing w:before="63" w:line="170" w:lineRule="auto"/>
              <w:rPr/>
            </w:pPr>
            <w:r>
              <w:rPr>
                <w:color w:val="231F20"/>
                <w:spacing w:val="-9"/>
              </w:rPr>
              <w:t>32.69</w:t>
            </w:r>
          </w:p>
        </w:tc>
      </w:tr>
    </w:tbl>
    <w:p>
      <w:pPr>
        <w:pStyle w:val="BodyText"/>
        <w:spacing w:line="250" w:lineRule="exact"/>
        <w:rPr>
          <w:sz w:val="13"/>
        </w:rPr>
      </w:pPr>
      <w:r/>
    </w:p>
    <w:p>
      <w:pPr>
        <w:spacing w:line="250" w:lineRule="exact"/>
        <w:sectPr>
          <w:headerReference w:type="default" r:id="rId185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>
          <w:sz w:val="13"/>
          <w:szCs w:val="13"/>
        </w:rPr>
      </w:pPr>
    </w:p>
    <w:p>
      <w:pPr>
        <w:pStyle w:val="BodyText"/>
        <w:ind w:left="721"/>
        <w:spacing w:before="54" w:line="17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207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-114956</wp:posOffset>
                </wp:positionV>
                <wp:extent cx="5580380" cy="955039"/>
                <wp:effectExtent l="0" t="0" r="0" b="0"/>
                <wp:wrapNone/>
                <wp:docPr id="368" name="Rect 368"/>
                <wp:cNvGraphicFramePr/>
                <a:graphic>
                  <a:graphicData uri="http://schemas.microsoft.com/office/word/2010/wordprocessingShape">
                    <wps:wsp>
                      <wps:cNvPr id="368" name="Rect 368"/>
                      <wps:cNvSpPr/>
                      <wps:spPr>
                        <a:xfrm>
                          <a:off x="0" y="-114956"/>
                          <a:ext cx="5580380" cy="955039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6" style="position:absolute;margin-left:0pt;margin-top:-9.05171pt;mso-position-vertical-relative:text;mso-position-horizontal-relative:text;width:439.4pt;height:75.2pt;z-index:-251295744;" fillcolor="#D4E5F5" filled="true" stroked="false"/>
            </w:pict>
          </mc:Fallback>
        </mc:AlternateContent>
      </w:r>
      <w:r>
        <w:rPr>
          <w:color w:val="231F20"/>
          <w:spacing w:val="-2"/>
        </w:rPr>
        <w:t>二、压力测试结论</w:t>
      </w:r>
    </w:p>
    <w:p>
      <w:pPr>
        <w:pStyle w:val="BodyText"/>
        <w:ind w:left="291" w:right="366" w:firstLine="426"/>
        <w:spacing w:before="120" w:line="193" w:lineRule="auto"/>
        <w:rPr/>
      </w:pPr>
      <w:r>
        <w:rPr>
          <w:color w:val="231F20"/>
          <w:spacing w:val="5"/>
        </w:rPr>
        <w:t>压力测试结果显示，我国公募基金流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动性管理能力整体较强。在轻度压力情景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3" w:firstLine="3"/>
        <w:spacing w:before="41" w:line="212" w:lineRule="auto"/>
        <w:jc w:val="both"/>
        <w:rPr/>
      </w:pPr>
      <w:r>
        <w:rPr>
          <w:color w:val="231F20"/>
        </w:rPr>
        <w:t>下，13888只公募基金中仅有2只灵活配置</w:t>
      </w:r>
      <w:r>
        <w:rPr>
          <w:color w:val="231F20"/>
          <w:spacing w:val="14"/>
          <w:w w:val="102"/>
        </w:rPr>
        <w:t xml:space="preserve"> </w:t>
      </w:r>
      <w:r>
        <w:rPr>
          <w:color w:val="231F20"/>
          <w:spacing w:val="5"/>
        </w:rPr>
        <w:t>型基金未通过压力测试，占参试基金总数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的比重为0.01%，测试结果与上期大致持</w:t>
      </w:r>
    </w:p>
    <w:p>
      <w:pPr>
        <w:spacing w:line="212" w:lineRule="auto"/>
        <w:sectPr>
          <w:type w:val="continuous"/>
          <w:pgSz w:w="11906" w:h="16158"/>
          <w:pgMar w:top="1384" w:right="1417" w:bottom="400" w:left="1700" w:header="1061" w:footer="0" w:gutter="0"/>
          <w:cols w:equalWidth="0" w:num="2">
            <w:col w:w="4534" w:space="100"/>
            <w:col w:w="4154" w:space="0"/>
          </w:cols>
        </w:sectPr>
        <w:rPr/>
      </w:pPr>
    </w:p>
    <w:p>
      <w:pPr>
        <w:pStyle w:val="BodyText"/>
        <w:spacing w:line="406" w:lineRule="auto"/>
        <w:rPr/>
      </w:pPr>
      <w:r/>
    </w:p>
    <w:p>
      <w:pPr>
        <w:pStyle w:val="BodyText"/>
        <w:ind w:left="4632" w:right="285" w:hanging="5"/>
        <w:spacing w:before="102" w:line="266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309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-78364</wp:posOffset>
                </wp:positionV>
                <wp:extent cx="5580380" cy="5814060"/>
                <wp:effectExtent l="0" t="0" r="0" b="0"/>
                <wp:wrapNone/>
                <wp:docPr id="372" name="Rect 372"/>
                <wp:cNvGraphicFramePr/>
                <a:graphic>
                  <a:graphicData uri="http://schemas.microsoft.com/office/word/2010/wordprocessingShape">
                    <wps:wsp>
                      <wps:cNvPr id="372" name="Rect 372"/>
                      <wps:cNvSpPr/>
                      <wps:spPr>
                        <a:xfrm>
                          <a:off x="0" y="-78364"/>
                          <a:ext cx="5580380" cy="581406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" style="position:absolute;margin-left:0pt;margin-top:-6.17041pt;mso-position-vertical-relative:text;mso-position-horizontal-relative:text;width:439.4pt;height:457.8pt;z-index:-251285504;" fillcolor="#D4E5F5" filled="true" stroked="false"/>
            </w:pict>
          </mc:Fallback>
        </mc:AlternateContent>
      </w:r>
      <w:r>
        <w:pict>
          <v:shape id="_x0000_s130" style="position:absolute;margin-left:13.7509pt;margin-top:4.13001pt;mso-position-vertical-relative:text;mso-position-horizontal-relative:text;width:195.6pt;height:39.05pt;z-index:25203200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2" w:right="20" w:hanging="2"/>
                    <w:spacing w:before="19" w:line="226" w:lineRule="auto"/>
                    <w:rPr/>
                  </w:pPr>
                  <w:r>
                    <w:rPr>
                      <w:color w:val="231F20"/>
                      <w:spacing w:val="5"/>
                    </w:rPr>
                    <w:t>平。在重度压力情景下，未通过测试的公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3"/>
                    </w:rPr>
                    <w:t>募基金为47只，占参试基金总数的比重为</w:t>
                  </w:r>
                </w:p>
              </w:txbxContent>
            </v:textbox>
          </v:shape>
        </w:pict>
      </w:r>
      <w:r>
        <w:rPr>
          <w:color w:val="231F20"/>
        </w:rPr>
        <w:t>0.34%，较上年下降209只、下降1</w:t>
      </w:r>
      <w:r>
        <w:rPr>
          <w:color w:val="231F20"/>
          <w:spacing w:val="-1"/>
        </w:rPr>
        <w:t>.88个百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分点（见表2）。</w:t>
      </w:r>
    </w:p>
    <w:p>
      <w:pPr>
        <w:pStyle w:val="BodyText"/>
        <w:ind w:left="415"/>
        <w:spacing w:before="94" w:line="208" w:lineRule="auto"/>
        <w:rPr/>
      </w:pPr>
      <w:r>
        <w:rPr>
          <w:color w:val="174B8B"/>
        </w:rPr>
        <w:t>表</w:t>
      </w:r>
      <w:r>
        <w:rPr>
          <w:rFonts w:ascii="Times New Roman" w:hAnsi="Times New Roman" w:eastAsia="Times New Roman" w:cs="Times New Roman"/>
          <w:b/>
          <w:bCs/>
          <w:color w:val="174B8B"/>
        </w:rPr>
        <w:t>2         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</w:t>
      </w:r>
      <w:r>
        <w:rPr>
          <w:color w:val="174B8B"/>
          <w:spacing w:val="-1"/>
        </w:rPr>
        <w:t>未通过压力测试基金数量和占比</w:t>
      </w:r>
    </w:p>
    <w:p>
      <w:pPr>
        <w:spacing w:line="22" w:lineRule="exact"/>
        <w:rPr/>
      </w:pPr>
      <w:r/>
    </w:p>
    <w:tbl>
      <w:tblPr>
        <w:tblStyle w:val="TableNormal"/>
        <w:tblW w:w="8441" w:type="dxa"/>
        <w:tblInd w:w="173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546"/>
        <w:gridCol w:w="1935"/>
        <w:gridCol w:w="990"/>
        <w:gridCol w:w="1005"/>
        <w:gridCol w:w="990"/>
        <w:gridCol w:w="975"/>
      </w:tblGrid>
      <w:tr>
        <w:trPr>
          <w:trHeight w:val="329" w:hRule="atLeast"/>
        </w:trPr>
        <w:tc>
          <w:tcPr>
            <w:shd w:val="clear" w:fill="174B8B"/>
            <w:tcW w:w="2546" w:type="dxa"/>
            <w:vAlign w:val="top"/>
            <w:vMerge w:val="restart"/>
            <w:tcBorders>
              <w:left w:val="nil"/>
              <w:top w:val="single" w:color="FFFFFF" w:sz="8" w:space="0"/>
              <w:bottom w:val="nil"/>
            </w:tcBorders>
          </w:tcPr>
          <w:p>
            <w:pPr>
              <w:pStyle w:val="TableText"/>
              <w:ind w:left="918"/>
              <w:spacing w:before="233" w:line="173" w:lineRule="auto"/>
              <w:rPr/>
            </w:pPr>
            <w:r>
              <w:rPr>
                <w:color w:val="FFFFFF"/>
                <w:spacing w:val="-2"/>
              </w:rPr>
              <w:t>基金类型</w:t>
            </w:r>
          </w:p>
        </w:tc>
        <w:tc>
          <w:tcPr>
            <w:shd w:val="clear" w:fill="174B8B"/>
            <w:tcW w:w="1935" w:type="dxa"/>
            <w:vAlign w:val="top"/>
            <w:vMerge w:val="restart"/>
            <w:tcBorders>
              <w:top w:val="single" w:color="FFFFFF" w:sz="8" w:space="0"/>
              <w:bottom w:val="nil"/>
            </w:tcBorders>
          </w:tcPr>
          <w:p>
            <w:pPr>
              <w:pStyle w:val="TableText"/>
              <w:ind w:left="249"/>
              <w:spacing w:before="242" w:line="173" w:lineRule="auto"/>
              <w:rPr/>
            </w:pPr>
            <w:r>
              <w:rPr>
                <w:color w:val="FFFFFF"/>
              </w:rPr>
              <w:t>参试基金数（只）</w:t>
            </w:r>
          </w:p>
        </w:tc>
        <w:tc>
          <w:tcPr>
            <w:shd w:val="clear" w:fill="174B8B"/>
            <w:tcW w:w="1995" w:type="dxa"/>
            <w:vAlign w:val="top"/>
            <w:gridSpan w:val="2"/>
            <w:tcBorders>
              <w:top w:val="single" w:color="FFFFFF" w:sz="8" w:space="0"/>
            </w:tcBorders>
          </w:tcPr>
          <w:p>
            <w:pPr>
              <w:pStyle w:val="TableText"/>
              <w:ind w:left="281"/>
              <w:spacing w:before="71" w:line="170" w:lineRule="auto"/>
              <w:rPr/>
            </w:pPr>
            <w:r>
              <w:rPr>
                <w:color w:val="FFFFFF"/>
                <w:spacing w:val="-1"/>
              </w:rPr>
              <w:t>未通过数量（家）</w:t>
            </w:r>
          </w:p>
        </w:tc>
        <w:tc>
          <w:tcPr>
            <w:shd w:val="clear" w:fill="174B8B"/>
            <w:tcW w:w="1965" w:type="dxa"/>
            <w:vAlign w:val="top"/>
            <w:gridSpan w:val="2"/>
            <w:tcBorders>
              <w:right w:val="nil"/>
              <w:top w:val="single" w:color="FFFFFF" w:sz="8" w:space="0"/>
            </w:tcBorders>
          </w:tcPr>
          <w:p>
            <w:pPr>
              <w:pStyle w:val="TableText"/>
              <w:ind w:left="556"/>
              <w:spacing w:before="47" w:line="188" w:lineRule="auto"/>
              <w:rPr/>
            </w:pPr>
            <w:r>
              <w:rPr>
                <w:color w:val="FFFFFF"/>
                <w:spacing w:val="-16"/>
              </w:rPr>
              <w:t>占比（  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6"/>
              </w:rPr>
              <w:t>%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11"/>
                <w:w w:val="101"/>
              </w:rPr>
              <w:t xml:space="preserve"> </w:t>
            </w:r>
            <w:r>
              <w:rPr>
                <w:color w:val="FFFFFF"/>
                <w:spacing w:val="-16"/>
              </w:rPr>
              <w:t>）</w:t>
            </w:r>
          </w:p>
        </w:tc>
      </w:tr>
      <w:tr>
        <w:trPr>
          <w:trHeight w:val="336" w:hRule="atLeast"/>
        </w:trPr>
        <w:tc>
          <w:tcPr>
            <w:tcW w:w="2546" w:type="dxa"/>
            <w:vAlign w:val="top"/>
            <w:vMerge w:val="continue"/>
            <w:tcBorders>
              <w:lef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1935" w:type="dxa"/>
            <w:vAlign w:val="top"/>
            <w:vMerge w:val="continue"/>
            <w:tcBorders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174B8B"/>
            <w:tcW w:w="990" w:type="dxa"/>
            <w:vAlign w:val="top"/>
          </w:tcPr>
          <w:p>
            <w:pPr>
              <w:pStyle w:val="TableText"/>
              <w:ind w:left="318"/>
              <w:spacing w:before="75" w:line="173" w:lineRule="auto"/>
              <w:rPr/>
            </w:pPr>
            <w:r>
              <w:rPr>
                <w:color w:val="FFFFFF"/>
                <w:spacing w:val="-3"/>
              </w:rPr>
              <w:t>轻度</w:t>
            </w:r>
          </w:p>
        </w:tc>
        <w:tc>
          <w:tcPr>
            <w:shd w:val="clear" w:fill="174B8B"/>
            <w:tcW w:w="1005" w:type="dxa"/>
            <w:vAlign w:val="top"/>
          </w:tcPr>
          <w:p>
            <w:pPr>
              <w:pStyle w:val="TableText"/>
              <w:ind w:left="326"/>
              <w:spacing w:before="76" w:line="171" w:lineRule="auto"/>
              <w:rPr/>
            </w:pPr>
            <w:r>
              <w:rPr>
                <w:color w:val="FFFFFF"/>
                <w:spacing w:val="-3"/>
              </w:rPr>
              <w:t>重度</w:t>
            </w:r>
          </w:p>
        </w:tc>
        <w:tc>
          <w:tcPr>
            <w:shd w:val="clear" w:fill="174B8B"/>
            <w:tcW w:w="990" w:type="dxa"/>
            <w:vAlign w:val="top"/>
          </w:tcPr>
          <w:p>
            <w:pPr>
              <w:pStyle w:val="TableText"/>
              <w:ind w:left="318"/>
              <w:spacing w:before="75" w:line="173" w:lineRule="auto"/>
              <w:rPr/>
            </w:pPr>
            <w:r>
              <w:rPr>
                <w:color w:val="FFFFFF"/>
                <w:spacing w:val="-3"/>
              </w:rPr>
              <w:t>轻度</w:t>
            </w:r>
          </w:p>
        </w:tc>
        <w:tc>
          <w:tcPr>
            <w:shd w:val="clear" w:fill="174B8B"/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11"/>
              <w:spacing w:before="76" w:line="171" w:lineRule="auto"/>
              <w:rPr/>
            </w:pPr>
            <w:r>
              <w:rPr>
                <w:color w:val="FFFFFF"/>
                <w:spacing w:val="-3"/>
              </w:rPr>
              <w:t>重度</w:t>
            </w:r>
          </w:p>
        </w:tc>
      </w:tr>
      <w:tr>
        <w:trPr>
          <w:trHeight w:val="309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645"/>
              <w:spacing w:before="50" w:line="172" w:lineRule="auto"/>
              <w:rPr/>
            </w:pPr>
            <w:r>
              <w:rPr>
                <w:color w:val="231F20"/>
                <w:spacing w:val="-1"/>
              </w:rPr>
              <w:t>普通股票型基金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815"/>
              <w:spacing w:before="46" w:line="175" w:lineRule="auto"/>
              <w:rPr/>
            </w:pPr>
            <w:r>
              <w:rPr>
                <w:color w:val="231F20"/>
                <w:spacing w:val="-8"/>
              </w:rPr>
              <w:t>736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46" w:line="175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46" w:line="175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46" w:line="175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46" w:line="175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647"/>
              <w:spacing w:before="53" w:line="171" w:lineRule="auto"/>
              <w:rPr/>
            </w:pPr>
            <w:r>
              <w:rPr>
                <w:color w:val="231F20"/>
                <w:spacing w:val="-1"/>
              </w:rPr>
              <w:t>被动指数型基金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742"/>
              <w:spacing w:before="47" w:line="175" w:lineRule="auto"/>
              <w:rPr/>
            </w:pPr>
            <w:r>
              <w:rPr>
                <w:color w:val="231F20"/>
                <w:spacing w:val="-12"/>
              </w:rPr>
              <w:t>1312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47" w:line="175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47" w:line="175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47" w:line="175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47" w:line="175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645"/>
              <w:spacing w:before="53" w:line="171" w:lineRule="auto"/>
              <w:rPr/>
            </w:pPr>
            <w:r>
              <w:rPr>
                <w:color w:val="231F20"/>
                <w:spacing w:val="-1"/>
              </w:rPr>
              <w:t>增强指数型基金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820"/>
              <w:spacing w:before="48" w:line="174" w:lineRule="auto"/>
              <w:rPr/>
            </w:pPr>
            <w:r>
              <w:rPr>
                <w:color w:val="231F20"/>
                <w:spacing w:val="-9"/>
              </w:rPr>
              <w:t>381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48" w:line="174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48" w:line="174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48" w:line="174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48" w:line="174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645"/>
              <w:spacing w:before="51" w:line="172" w:lineRule="auto"/>
              <w:rPr/>
            </w:pPr>
            <w:r>
              <w:rPr>
                <w:color w:val="231F20"/>
                <w:spacing w:val="-1"/>
              </w:rPr>
              <w:t>偏股混合型基金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727"/>
              <w:spacing w:before="48" w:line="174" w:lineRule="auto"/>
              <w:rPr/>
            </w:pPr>
            <w:r>
              <w:rPr>
                <w:color w:val="231F20"/>
                <w:spacing w:val="-9"/>
              </w:rPr>
              <w:t>2988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48" w:line="174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48" w:line="174" w:lineRule="auto"/>
              <w:rPr/>
            </w:pPr>
            <w:r>
              <w:rPr>
                <w:color w:val="231F20"/>
              </w:rPr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48" w:line="174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48" w:line="174" w:lineRule="auto"/>
              <w:rPr/>
            </w:pPr>
            <w:r>
              <w:rPr>
                <w:color w:val="231F20"/>
                <w:spacing w:val="-8"/>
              </w:rPr>
              <w:t>0.07</w:t>
            </w:r>
          </w:p>
        </w:tc>
      </w:tr>
      <w:tr>
        <w:trPr>
          <w:trHeight w:val="309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645"/>
              <w:spacing w:before="53" w:line="170" w:lineRule="auto"/>
              <w:rPr/>
            </w:pPr>
            <w:r>
              <w:rPr>
                <w:color w:val="231F20"/>
                <w:spacing w:val="-1"/>
              </w:rPr>
              <w:t>平衡混合型基金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906"/>
              <w:spacing w:before="49" w:line="173" w:lineRule="auto"/>
              <w:rPr/>
            </w:pPr>
            <w:r>
              <w:rPr>
                <w:color w:val="231F20"/>
                <w:spacing w:val="-7"/>
              </w:rPr>
              <w:t>28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49" w:line="173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49" w:line="173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49" w:line="173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49" w:line="173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645"/>
              <w:spacing w:before="54" w:line="170" w:lineRule="auto"/>
              <w:rPr/>
            </w:pPr>
            <w:r>
              <w:rPr>
                <w:color w:val="231F20"/>
                <w:spacing w:val="-1"/>
              </w:rPr>
              <w:t>偏债混合型基金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815"/>
              <w:spacing w:before="51" w:line="172" w:lineRule="auto"/>
              <w:rPr/>
            </w:pPr>
            <w:r>
              <w:rPr>
                <w:color w:val="231F20"/>
                <w:spacing w:val="-8"/>
              </w:rPr>
              <w:t>786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1" w:line="172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90"/>
              <w:spacing w:before="51" w:line="172" w:lineRule="auto"/>
              <w:rPr/>
            </w:pPr>
            <w:r>
              <w:rPr>
                <w:color w:val="231F20"/>
              </w:rPr>
              <w:t>1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1" w:line="172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51" w:line="172" w:lineRule="auto"/>
              <w:rPr/>
            </w:pPr>
            <w:r>
              <w:rPr>
                <w:color w:val="231F20"/>
                <w:spacing w:val="-8"/>
              </w:rPr>
              <w:t>0.13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645"/>
              <w:spacing w:before="60" w:line="166" w:lineRule="auto"/>
              <w:rPr/>
            </w:pPr>
            <w:r>
              <w:rPr>
                <w:color w:val="231F20"/>
                <w:spacing w:val="-1"/>
              </w:rPr>
              <w:t>灵活配置型基金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742"/>
              <w:spacing w:before="51" w:line="172" w:lineRule="auto"/>
              <w:rPr/>
            </w:pPr>
            <w:r>
              <w:rPr>
                <w:color w:val="231F20"/>
                <w:spacing w:val="-12"/>
              </w:rPr>
              <w:t>1979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50"/>
              <w:spacing w:before="51" w:line="172" w:lineRule="auto"/>
              <w:rPr/>
            </w:pPr>
            <w:r>
              <w:rPr>
                <w:color w:val="231F20"/>
              </w:rPr>
              <w:t>2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01"/>
              <w:spacing w:before="51" w:line="172" w:lineRule="auto"/>
              <w:rPr/>
            </w:pPr>
            <w:r>
              <w:rPr>
                <w:color w:val="231F20"/>
                <w:spacing w:val="-11"/>
              </w:rPr>
              <w:t>15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1" w:line="172" w:lineRule="auto"/>
              <w:rPr/>
            </w:pPr>
            <w:r>
              <w:rPr>
                <w:color w:val="231F20"/>
                <w:spacing w:val="-8"/>
              </w:rPr>
              <w:t>0.10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51" w:line="172" w:lineRule="auto"/>
              <w:rPr/>
            </w:pPr>
            <w:r>
              <w:rPr>
                <w:color w:val="231F20"/>
                <w:spacing w:val="-8"/>
              </w:rPr>
              <w:t>0.76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574"/>
              <w:spacing w:before="56" w:line="169" w:lineRule="auto"/>
              <w:rPr/>
            </w:pPr>
            <w:r>
              <w:rPr>
                <w:color w:val="231F20"/>
                <w:spacing w:val="-3"/>
              </w:rPr>
              <w:t>中长期纯债型基金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727"/>
              <w:spacing w:before="51" w:line="172" w:lineRule="auto"/>
              <w:rPr/>
            </w:pPr>
            <w:r>
              <w:rPr>
                <w:color w:val="231F20"/>
                <w:spacing w:val="-9"/>
              </w:rPr>
              <w:t>2449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1" w:line="172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51" w:line="172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1" w:line="172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51" w:line="172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09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647"/>
              <w:spacing w:before="56" w:line="168" w:lineRule="auto"/>
              <w:rPr/>
            </w:pPr>
            <w:r>
              <w:rPr>
                <w:color w:val="231F20"/>
                <w:spacing w:val="-1"/>
              </w:rPr>
              <w:t>短期纯债型基金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817"/>
              <w:spacing w:before="53" w:line="170" w:lineRule="auto"/>
              <w:rPr/>
            </w:pPr>
            <w:r>
              <w:rPr>
                <w:color w:val="231F20"/>
                <w:spacing w:val="-9"/>
              </w:rPr>
              <w:t>548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3" w:line="170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53" w:line="170" w:lineRule="auto"/>
              <w:rPr/>
            </w:pPr>
            <w:r>
              <w:rPr>
                <w:color w:val="231F20"/>
              </w:rPr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3" w:line="170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53" w:line="170" w:lineRule="auto"/>
              <w:rPr/>
            </w:pPr>
            <w:r>
              <w:rPr>
                <w:color w:val="231F20"/>
                <w:spacing w:val="-8"/>
              </w:rPr>
              <w:t>0.36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467"/>
              <w:spacing w:before="57" w:line="168" w:lineRule="auto"/>
              <w:rPr/>
            </w:pPr>
            <w:r>
              <w:rPr>
                <w:color w:val="231F20"/>
                <w:spacing w:val="-1"/>
              </w:rPr>
              <w:t>混合债券型一级基金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817"/>
              <w:spacing w:before="54" w:line="170" w:lineRule="auto"/>
              <w:rPr/>
            </w:pPr>
            <w:r>
              <w:rPr>
                <w:color w:val="231F20"/>
                <w:spacing w:val="-9"/>
              </w:rPr>
              <w:t>563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4" w:line="170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3"/>
              <w:spacing w:before="54" w:line="170" w:lineRule="auto"/>
              <w:rPr/>
            </w:pPr>
            <w:r>
              <w:rPr>
                <w:color w:val="231F20"/>
              </w:rPr>
              <w:t>4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4" w:line="170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54" w:line="170" w:lineRule="auto"/>
              <w:rPr/>
            </w:pPr>
            <w:r>
              <w:rPr>
                <w:color w:val="231F20"/>
                <w:spacing w:val="-8"/>
              </w:rPr>
              <w:t>0.71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467"/>
              <w:spacing w:before="59" w:line="167" w:lineRule="auto"/>
              <w:rPr/>
            </w:pPr>
            <w:r>
              <w:rPr>
                <w:color w:val="231F20"/>
                <w:spacing w:val="-1"/>
              </w:rPr>
              <w:t>混合债券型二级基金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815"/>
              <w:spacing w:before="54" w:line="170" w:lineRule="auto"/>
              <w:rPr/>
            </w:pPr>
            <w:r>
              <w:rPr>
                <w:color w:val="231F20"/>
                <w:spacing w:val="-8"/>
              </w:rPr>
              <w:t>726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4" w:line="170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01"/>
              <w:spacing w:before="54" w:line="170" w:lineRule="auto"/>
              <w:rPr/>
            </w:pPr>
            <w:r>
              <w:rPr>
                <w:color w:val="231F20"/>
                <w:spacing w:val="-11"/>
              </w:rPr>
              <w:t>10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4" w:line="170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46"/>
              <w:spacing w:before="54" w:line="170" w:lineRule="auto"/>
              <w:rPr/>
            </w:pPr>
            <w:r>
              <w:rPr>
                <w:color w:val="231F20"/>
                <w:spacing w:val="-11"/>
              </w:rPr>
              <w:t>1.38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467"/>
              <w:spacing w:before="60" w:line="166" w:lineRule="auto"/>
              <w:rPr/>
            </w:pPr>
            <w:r>
              <w:rPr>
                <w:color w:val="231F20"/>
                <w:spacing w:val="-1"/>
              </w:rPr>
              <w:t>被动指数型债券基金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820"/>
              <w:spacing w:before="56" w:line="169" w:lineRule="auto"/>
              <w:rPr/>
            </w:pPr>
            <w:r>
              <w:rPr>
                <w:color w:val="231F20"/>
                <w:spacing w:val="-9"/>
              </w:rPr>
              <w:t>372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6" w:line="169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6"/>
              <w:spacing w:before="56" w:line="169" w:lineRule="auto"/>
              <w:rPr/>
            </w:pPr>
            <w:r>
              <w:rPr>
                <w:color w:val="231F20"/>
              </w:rPr>
              <w:t>6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6" w:line="169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46"/>
              <w:spacing w:before="56" w:line="169" w:lineRule="auto"/>
              <w:rPr/>
            </w:pPr>
            <w:r>
              <w:rPr>
                <w:color w:val="231F20"/>
                <w:spacing w:val="-11"/>
              </w:rPr>
              <w:t>1.61</w:t>
            </w:r>
          </w:p>
        </w:tc>
      </w:tr>
      <w:tr>
        <w:trPr>
          <w:trHeight w:val="309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465"/>
              <w:spacing w:before="60" w:line="165" w:lineRule="auto"/>
              <w:rPr/>
            </w:pPr>
            <w:r>
              <w:rPr>
                <w:color w:val="231F20"/>
                <w:spacing w:val="-1"/>
              </w:rPr>
              <w:t>增强指数型债券基金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995"/>
              <w:spacing w:before="56" w:line="168" w:lineRule="auto"/>
              <w:rPr/>
            </w:pPr>
            <w:r>
              <w:rPr>
                <w:color w:val="231F20"/>
              </w:rPr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6" w:line="168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56" w:line="168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6" w:line="168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56" w:line="168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559"/>
              <w:spacing w:before="61" w:line="165" w:lineRule="auto"/>
              <w:rPr/>
            </w:pPr>
            <w:r>
              <w:rPr>
                <w:color w:val="231F20"/>
                <w:spacing w:val="-1"/>
              </w:rPr>
              <w:t>可转换债券型基金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907"/>
              <w:spacing w:before="57" w:line="168" w:lineRule="auto"/>
              <w:rPr/>
            </w:pPr>
            <w:r>
              <w:rPr>
                <w:color w:val="231F20"/>
                <w:spacing w:val="-7"/>
              </w:rPr>
              <w:t>55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7" w:line="168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6"/>
              <w:spacing w:before="57" w:line="168" w:lineRule="auto"/>
              <w:rPr/>
            </w:pPr>
            <w:r>
              <w:rPr>
                <w:color w:val="231F20"/>
              </w:rPr>
              <w:t>5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7" w:line="168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1"/>
              <w:spacing w:before="57" w:line="168" w:lineRule="auto"/>
              <w:rPr/>
            </w:pPr>
            <w:r>
              <w:rPr>
                <w:color w:val="231F20"/>
                <w:spacing w:val="-8"/>
              </w:rPr>
              <w:t>9.09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645"/>
              <w:spacing w:before="61" w:line="165" w:lineRule="auto"/>
              <w:rPr/>
            </w:pPr>
            <w:r>
              <w:rPr>
                <w:color w:val="231F20"/>
                <w:spacing w:val="-1"/>
              </w:rPr>
              <w:t>货币市场型基金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815"/>
              <w:spacing w:before="57" w:line="168" w:lineRule="auto"/>
              <w:rPr/>
            </w:pPr>
            <w:r>
              <w:rPr>
                <w:color w:val="231F20"/>
                <w:spacing w:val="-8"/>
              </w:rPr>
              <w:t>705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7" w:line="168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57" w:line="168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7" w:line="168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57" w:line="168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09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557"/>
              <w:spacing w:before="62" w:line="164" w:lineRule="auto"/>
              <w:rPr/>
            </w:pPr>
            <w:r>
              <w:rPr>
                <w:color w:val="231F20"/>
                <w:spacing w:val="-1"/>
              </w:rPr>
              <w:t>股票多空策略基金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909"/>
              <w:spacing w:before="59" w:line="166" w:lineRule="auto"/>
              <w:rPr/>
            </w:pPr>
            <w:r>
              <w:rPr>
                <w:color w:val="231F20"/>
                <w:spacing w:val="-8"/>
              </w:rPr>
              <w:t>33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59" w:line="166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59" w:line="166" w:lineRule="auto"/>
              <w:rPr/>
            </w:pPr>
            <w:r>
              <w:rPr>
                <w:color w:val="231F20"/>
              </w:rPr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59" w:line="166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2"/>
              <w:spacing w:before="59" w:line="166" w:lineRule="auto"/>
              <w:rPr/>
            </w:pPr>
            <w:r>
              <w:rPr>
                <w:color w:val="231F20"/>
                <w:spacing w:val="-8"/>
              </w:rPr>
              <w:t>6.06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827"/>
              <w:spacing w:before="60" w:line="166" w:lineRule="auto"/>
              <w:rPr/>
            </w:pPr>
            <w:r>
              <w:rPr>
                <w:color w:val="231F20"/>
                <w:spacing w:val="-1"/>
              </w:rPr>
              <w:t>商品型基金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906"/>
              <w:spacing w:before="60" w:line="166" w:lineRule="auto"/>
              <w:rPr/>
            </w:pPr>
            <w:r>
              <w:rPr>
                <w:color w:val="231F20"/>
                <w:spacing w:val="-7"/>
              </w:rPr>
              <w:t>20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60" w:line="166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60" w:line="166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60" w:line="166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60" w:line="166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305"/>
              <w:spacing w:before="60" w:line="166" w:lineRule="auto"/>
              <w:rPr/>
            </w:pPr>
            <w:r>
              <w:rPr>
                <w:color w:val="231F20"/>
                <w:spacing w:val="-2"/>
              </w:rPr>
              <w:t>国际（QDII）股票型基金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831"/>
              <w:spacing w:before="60" w:line="166" w:lineRule="auto"/>
              <w:rPr/>
            </w:pPr>
            <w:r>
              <w:rPr>
                <w:color w:val="231F20"/>
                <w:spacing w:val="-12"/>
              </w:rPr>
              <w:t>158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60" w:line="166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60" w:line="166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60" w:line="166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60" w:line="166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09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305"/>
              <w:spacing w:before="60" w:line="165" w:lineRule="auto"/>
              <w:rPr/>
            </w:pPr>
            <w:r>
              <w:rPr>
                <w:color w:val="231F20"/>
                <w:spacing w:val="-2"/>
              </w:rPr>
              <w:t>国际（QDII）混合型基金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903"/>
              <w:spacing w:before="60" w:line="165" w:lineRule="auto"/>
              <w:rPr/>
            </w:pPr>
            <w:r>
              <w:rPr>
                <w:color w:val="231F20"/>
                <w:spacing w:val="-6"/>
              </w:rPr>
              <w:t>42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60" w:line="165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60" w:line="165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60" w:line="165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60" w:line="165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10" w:hRule="atLeast"/>
        </w:trPr>
        <w:tc>
          <w:tcPr>
            <w:tcW w:w="2546" w:type="dxa"/>
            <w:vAlign w:val="top"/>
            <w:tcBorders>
              <w:left w:val="nil"/>
            </w:tcBorders>
          </w:tcPr>
          <w:p>
            <w:pPr>
              <w:pStyle w:val="TableText"/>
              <w:ind w:left="215"/>
              <w:spacing w:before="63" w:line="164" w:lineRule="auto"/>
              <w:rPr/>
            </w:pPr>
            <w:r>
              <w:rPr>
                <w:color w:val="231F20"/>
                <w:spacing w:val="-2"/>
              </w:rPr>
              <w:t>国际（QDII）另类投资基金</w:t>
            </w:r>
          </w:p>
        </w:tc>
        <w:tc>
          <w:tcPr>
            <w:tcW w:w="1935" w:type="dxa"/>
            <w:vAlign w:val="top"/>
          </w:tcPr>
          <w:p>
            <w:pPr>
              <w:pStyle w:val="TableText"/>
              <w:ind w:left="996"/>
              <w:spacing w:before="63" w:line="164" w:lineRule="auto"/>
              <w:rPr/>
            </w:pPr>
            <w:r>
              <w:rPr>
                <w:color w:val="231F20"/>
              </w:rPr>
              <w:t>5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49"/>
              <w:spacing w:before="63" w:line="164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005" w:type="dxa"/>
            <w:vAlign w:val="top"/>
          </w:tcPr>
          <w:p>
            <w:pPr>
              <w:pStyle w:val="TableText"/>
              <w:ind w:left="475"/>
              <w:spacing w:before="63" w:line="164" w:lineRule="auto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338"/>
              <w:spacing w:before="63" w:line="164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975" w:type="dxa"/>
            <w:vAlign w:val="top"/>
            <w:tcBorders>
              <w:right w:val="nil"/>
            </w:tcBorders>
          </w:tcPr>
          <w:p>
            <w:pPr>
              <w:pStyle w:val="TableText"/>
              <w:ind w:left="330"/>
              <w:spacing w:before="63" w:line="164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19" w:hRule="atLeast"/>
        </w:trPr>
        <w:tc>
          <w:tcPr>
            <w:tcW w:w="2546" w:type="dxa"/>
            <w:vAlign w:val="top"/>
            <w:tcBorders>
              <w:left w:val="nil"/>
              <w:bottom w:val="single" w:color="FFFFFF" w:sz="8" w:space="0"/>
            </w:tcBorders>
          </w:tcPr>
          <w:p>
            <w:pPr>
              <w:pStyle w:val="TableText"/>
              <w:ind w:left="1103"/>
              <w:spacing w:before="68" w:line="167" w:lineRule="auto"/>
              <w:rPr/>
            </w:pPr>
            <w:r>
              <w:rPr>
                <w:color w:val="231F20"/>
                <w:spacing w:val="-3"/>
              </w:rPr>
              <w:t>总计</w:t>
            </w:r>
          </w:p>
        </w:tc>
        <w:tc>
          <w:tcPr>
            <w:tcW w:w="1935" w:type="dxa"/>
            <w:vAlign w:val="top"/>
            <w:tcBorders>
              <w:bottom w:val="single" w:color="FFFFFF" w:sz="8" w:space="0"/>
            </w:tcBorders>
          </w:tcPr>
          <w:p>
            <w:pPr>
              <w:pStyle w:val="TableText"/>
              <w:ind w:left="653"/>
              <w:spacing w:before="63" w:line="170" w:lineRule="auto"/>
              <w:rPr/>
            </w:pPr>
            <w:r>
              <w:rPr>
                <w:color w:val="231F20"/>
                <w:spacing w:val="-12"/>
              </w:rPr>
              <w:t>13888</w:t>
            </w:r>
          </w:p>
        </w:tc>
        <w:tc>
          <w:tcPr>
            <w:tcW w:w="990" w:type="dxa"/>
            <w:vAlign w:val="top"/>
            <w:tcBorders>
              <w:bottom w:val="single" w:color="FFFFFF" w:sz="8" w:space="0"/>
            </w:tcBorders>
          </w:tcPr>
          <w:p>
            <w:pPr>
              <w:pStyle w:val="TableText"/>
              <w:ind w:left="450"/>
              <w:spacing w:before="63" w:line="170" w:lineRule="auto"/>
              <w:rPr/>
            </w:pPr>
            <w:r>
              <w:rPr>
                <w:color w:val="231F20"/>
              </w:rPr>
              <w:t>2</w:t>
            </w:r>
          </w:p>
        </w:tc>
        <w:tc>
          <w:tcPr>
            <w:tcW w:w="1005" w:type="dxa"/>
            <w:vAlign w:val="top"/>
            <w:tcBorders>
              <w:bottom w:val="single" w:color="FFFFFF" w:sz="8" w:space="0"/>
            </w:tcBorders>
          </w:tcPr>
          <w:p>
            <w:pPr>
              <w:pStyle w:val="TableText"/>
              <w:ind w:left="383"/>
              <w:spacing w:before="63" w:line="170" w:lineRule="auto"/>
              <w:rPr/>
            </w:pPr>
            <w:r>
              <w:rPr>
                <w:color w:val="231F20"/>
                <w:spacing w:val="-6"/>
              </w:rPr>
              <w:t>47</w:t>
            </w:r>
          </w:p>
        </w:tc>
        <w:tc>
          <w:tcPr>
            <w:tcW w:w="990" w:type="dxa"/>
            <w:vAlign w:val="top"/>
            <w:tcBorders>
              <w:bottom w:val="single" w:color="FFFFFF" w:sz="8" w:space="0"/>
            </w:tcBorders>
          </w:tcPr>
          <w:p>
            <w:pPr>
              <w:pStyle w:val="TableText"/>
              <w:ind w:left="338"/>
              <w:spacing w:before="63" w:line="170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  <w:tc>
          <w:tcPr>
            <w:tcW w:w="975" w:type="dxa"/>
            <w:vAlign w:val="top"/>
            <w:tcBorders>
              <w:right w:val="nil"/>
              <w:bottom w:val="single" w:color="FFFFFF" w:sz="8" w:space="0"/>
            </w:tcBorders>
          </w:tcPr>
          <w:p>
            <w:pPr>
              <w:pStyle w:val="TableText"/>
              <w:ind w:left="330"/>
              <w:spacing w:before="63" w:line="170" w:lineRule="auto"/>
              <w:rPr/>
            </w:pPr>
            <w:r>
              <w:rPr>
                <w:color w:val="231F20"/>
                <w:spacing w:val="-8"/>
              </w:rPr>
              <w:t>0.34</w:t>
            </w:r>
          </w:p>
        </w:tc>
      </w:tr>
    </w:tbl>
    <w:p>
      <w:pPr>
        <w:pStyle w:val="BodyText"/>
        <w:rPr/>
      </w:pPr>
      <w:r/>
    </w:p>
    <w:p>
      <w:pPr>
        <w:spacing w:line="89" w:lineRule="exact"/>
        <w:rPr/>
      </w:pPr>
      <w:r/>
    </w:p>
    <w:p>
      <w:pPr>
        <w:spacing w:line="89" w:lineRule="exact"/>
        <w:sectPr>
          <w:headerReference w:type="default" r:id="rId187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3" w:right="357" w:firstLine="430"/>
        <w:spacing w:before="40" w:line="232" w:lineRule="auto"/>
        <w:rPr/>
      </w:pPr>
      <w:r>
        <w:rPr>
          <w:color w:val="231F20"/>
          <w:spacing w:val="21"/>
        </w:rPr>
        <w:t>期货公司盈利降幅收窄，经营稳健。</w:t>
      </w:r>
      <w:r>
        <w:rPr>
          <w:color w:val="231F20"/>
          <w:spacing w:val="2"/>
        </w:rPr>
        <w:t xml:space="preserve">  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color w:val="231F20"/>
        </w:rPr>
        <w:t>年，期货公司全年实现营业收入</w:t>
      </w:r>
      <w:r>
        <w:rPr>
          <w:rFonts w:ascii="Times New Roman" w:hAnsi="Times New Roman" w:eastAsia="Times New Roman" w:cs="Times New Roman"/>
          <w:color w:val="231F20"/>
        </w:rPr>
        <w:t>413.12</w:t>
      </w:r>
      <w:r>
        <w:rPr>
          <w:color w:val="231F20"/>
        </w:rPr>
        <w:t>亿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"/>
        </w:rPr>
        <w:t>元，同比增长</w:t>
      </w:r>
      <w:r>
        <w:rPr>
          <w:rFonts w:ascii="Times New Roman" w:hAnsi="Times New Roman" w:eastAsia="Times New Roman" w:cs="Times New Roman"/>
          <w:color w:val="231F20"/>
          <w:spacing w:val="2"/>
        </w:rPr>
        <w:t>3.27%</w:t>
      </w:r>
      <w:r>
        <w:rPr>
          <w:color w:val="231F20"/>
          <w:spacing w:val="2"/>
        </w:rPr>
        <w:t>，其中手续费及佣金</w:t>
      </w:r>
      <w:r>
        <w:rPr>
          <w:color w:val="231F20"/>
          <w:spacing w:val="1"/>
        </w:rPr>
        <w:t>净收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入</w:t>
      </w:r>
      <w:r>
        <w:rPr>
          <w:rFonts w:ascii="Times New Roman" w:hAnsi="Times New Roman" w:eastAsia="Times New Roman" w:cs="Times New Roman"/>
          <w:color w:val="231F20"/>
          <w:spacing w:val="4"/>
        </w:rPr>
        <w:t>238.27</w:t>
      </w:r>
      <w:r>
        <w:rPr>
          <w:color w:val="231F20"/>
          <w:spacing w:val="4"/>
        </w:rPr>
        <w:t>亿元，同比增长</w:t>
      </w:r>
      <w:r>
        <w:rPr>
          <w:rFonts w:ascii="Times New Roman" w:hAnsi="Times New Roman" w:eastAsia="Times New Roman" w:cs="Times New Roman"/>
          <w:color w:val="231F20"/>
          <w:spacing w:val="4"/>
        </w:rPr>
        <w:t>1.84%</w:t>
      </w:r>
      <w:r>
        <w:rPr>
          <w:color w:val="231F20"/>
          <w:spacing w:val="4"/>
        </w:rPr>
        <w:t>，在</w:t>
      </w:r>
      <w:r>
        <w:rPr>
          <w:color w:val="231F20"/>
          <w:spacing w:val="3"/>
        </w:rPr>
        <w:t>营业收入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中占比</w:t>
      </w:r>
      <w:r>
        <w:rPr>
          <w:rFonts w:ascii="Times New Roman" w:hAnsi="Times New Roman" w:eastAsia="Times New Roman" w:cs="Times New Roman"/>
          <w:color w:val="231F20"/>
          <w:spacing w:val="4"/>
        </w:rPr>
        <w:t>57.68%</w:t>
      </w:r>
      <w:r>
        <w:rPr>
          <w:color w:val="231F20"/>
          <w:spacing w:val="4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4"/>
        </w:rPr>
        <w:t>0.8</w:t>
      </w:r>
      <w:r>
        <w:rPr>
          <w:color w:val="231F20"/>
          <w:spacing w:val="4"/>
        </w:rPr>
        <w:t>个百分点。净利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润</w:t>
      </w:r>
      <w:r>
        <w:rPr>
          <w:rFonts w:ascii="Times New Roman" w:hAnsi="Times New Roman" w:eastAsia="Times New Roman" w:cs="Times New Roman"/>
          <w:color w:val="231F20"/>
          <w:spacing w:val="-1"/>
        </w:rPr>
        <w:t>91.46</w:t>
      </w:r>
      <w:r>
        <w:rPr>
          <w:color w:val="231F20"/>
          <w:spacing w:val="-1"/>
        </w:rPr>
        <w:t>亿元，同比下降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3.53%</w:t>
      </w:r>
      <w:r>
        <w:rPr>
          <w:color w:val="231F20"/>
          <w:spacing w:val="-1"/>
        </w:rPr>
        <w:t>，降幅较上年收</w:t>
      </w:r>
      <w:r>
        <w:rPr>
          <w:color w:val="231F20"/>
          <w:spacing w:val="14"/>
          <w:w w:val="102"/>
        </w:rPr>
        <w:t xml:space="preserve"> </w:t>
      </w:r>
      <w:r>
        <w:rPr>
          <w:color w:val="231F20"/>
        </w:rPr>
        <w:t>窄</w:t>
      </w:r>
      <w:r>
        <w:rPr>
          <w:rFonts w:ascii="Times New Roman" w:hAnsi="Times New Roman" w:eastAsia="Times New Roman" w:cs="Times New Roman"/>
          <w:color w:val="231F20"/>
        </w:rPr>
        <w:t>9.99</w:t>
      </w:r>
      <w:r>
        <w:rPr>
          <w:color w:val="231F20"/>
        </w:rPr>
        <w:t>个百分点。截至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color w:val="231F20"/>
        </w:rPr>
        <w:t>年末，期货公司净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" w:firstLine="5"/>
        <w:spacing w:before="43" w:line="249" w:lineRule="auto"/>
        <w:jc w:val="both"/>
        <w:rPr/>
      </w:pPr>
      <w:r>
        <w:rPr>
          <w:color w:val="231F20"/>
          <w:spacing w:val="1"/>
        </w:rPr>
        <w:t>资本与风险资本准备总额的比率为</w:t>
      </w:r>
      <w:r>
        <w:rPr>
          <w:rFonts w:ascii="Times New Roman" w:hAnsi="Times New Roman" w:eastAsia="Times New Roman" w:cs="Times New Roman"/>
          <w:color w:val="231F20"/>
          <w:spacing w:val="1"/>
        </w:rPr>
        <w:t>277.56%</w:t>
      </w:r>
      <w:r>
        <w:rPr>
          <w:color w:val="231F20"/>
          <w:spacing w:val="1"/>
        </w:rPr>
        <w:t>，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同比下降</w:t>
      </w:r>
      <w:r>
        <w:rPr>
          <w:rFonts w:ascii="Times New Roman" w:hAnsi="Times New Roman" w:eastAsia="Times New Roman" w:cs="Times New Roman"/>
          <w:color w:val="231F20"/>
        </w:rPr>
        <w:t>0.69</w:t>
      </w:r>
      <w:r>
        <w:rPr>
          <w:color w:val="231F20"/>
        </w:rPr>
        <w:t>个百分点；净资本与净资产的比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例为</w:t>
      </w:r>
      <w:r>
        <w:rPr>
          <w:rFonts w:ascii="Times New Roman" w:hAnsi="Times New Roman" w:eastAsia="Times New Roman" w:cs="Times New Roman"/>
          <w:color w:val="231F20"/>
        </w:rPr>
        <w:t>64.32%</w:t>
      </w:r>
      <w:r>
        <w:rPr>
          <w:color w:val="231F20"/>
        </w:rPr>
        <w:t>，同比上升</w:t>
      </w:r>
      <w:r>
        <w:rPr>
          <w:rFonts w:ascii="Times New Roman" w:hAnsi="Times New Roman" w:eastAsia="Times New Roman" w:cs="Times New Roman"/>
          <w:color w:val="231F20"/>
        </w:rPr>
        <w:t>1.06</w:t>
      </w:r>
      <w:r>
        <w:rPr>
          <w:color w:val="231F20"/>
        </w:rPr>
        <w:t>个百</w:t>
      </w:r>
      <w:r>
        <w:rPr>
          <w:color w:val="231F20"/>
          <w:spacing w:val="-1"/>
        </w:rPr>
        <w:t>分点，均优于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监管标准。</w:t>
      </w:r>
    </w:p>
    <w:p>
      <w:pPr>
        <w:pStyle w:val="BodyText"/>
        <w:ind w:left="2" w:firstLine="424"/>
        <w:spacing w:before="1" w:line="208" w:lineRule="auto"/>
        <w:jc w:val="both"/>
        <w:rPr/>
      </w:pPr>
      <w:r>
        <w:rPr>
          <w:color w:val="231F20"/>
          <w:spacing w:val="1"/>
        </w:rPr>
        <w:t>上市公司整体经营平稳。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截至</w:t>
      </w:r>
      <w:r>
        <w:rPr>
          <w:rFonts w:ascii="Times New Roman" w:hAnsi="Times New Roman" w:eastAsia="Times New Roman" w:cs="Times New Roman"/>
          <w:color w:val="231F20"/>
          <w:spacing w:val="1"/>
        </w:rPr>
        <w:t>2025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4</w:t>
      </w:r>
      <w:r>
        <w:rPr>
          <w:color w:val="231F20"/>
          <w:spacing w:val="1"/>
        </w:rPr>
        <w:t>月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7"/>
        </w:rPr>
        <w:t>30</w:t>
      </w:r>
      <w:r>
        <w:rPr>
          <w:color w:val="231F20"/>
          <w:spacing w:val="7"/>
        </w:rPr>
        <w:t>日，沪深北交易所共有</w:t>
      </w:r>
      <w:r>
        <w:rPr>
          <w:rFonts w:ascii="Times New Roman" w:hAnsi="Times New Roman" w:eastAsia="Times New Roman" w:cs="Times New Roman"/>
          <w:color w:val="231F20"/>
          <w:spacing w:val="7"/>
        </w:rPr>
        <w:t>5412</w:t>
      </w:r>
      <w:r>
        <w:rPr>
          <w:color w:val="231F20"/>
          <w:spacing w:val="7"/>
        </w:rPr>
        <w:t>家上市公司披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5"/>
        </w:rPr>
        <w:t>露</w:t>
      </w: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年年报，共实现营业总收入</w:t>
      </w:r>
      <w:r>
        <w:rPr>
          <w:rFonts w:ascii="Times New Roman" w:hAnsi="Times New Roman" w:eastAsia="Times New Roman" w:cs="Times New Roman"/>
          <w:color w:val="231F20"/>
          <w:spacing w:val="5"/>
        </w:rPr>
        <w:t>71.9</w:t>
      </w:r>
      <w:r>
        <w:rPr>
          <w:rFonts w:ascii="Times New Roman" w:hAnsi="Times New Roman" w:eastAsia="Times New Roman" w:cs="Times New Roman"/>
          <w:color w:val="231F20"/>
          <w:spacing w:val="4"/>
        </w:rPr>
        <w:t>8</w:t>
      </w:r>
      <w:r>
        <w:rPr>
          <w:color w:val="231F20"/>
          <w:spacing w:val="4"/>
        </w:rPr>
        <w:t>万亿</w:t>
      </w:r>
    </w:p>
    <w:p>
      <w:pPr>
        <w:spacing w:line="208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5" w:space="100"/>
            <w:col w:w="4164" w:space="0"/>
          </w:cols>
        </w:sectPr>
        <w:rPr/>
      </w:pPr>
    </w:p>
    <w:p>
      <w:pPr>
        <w:spacing w:before="155"/>
        <w:rPr/>
      </w:pPr>
      <w:r/>
    </w:p>
    <w:p>
      <w:pPr>
        <w:sectPr>
          <w:headerReference w:type="default" r:id="rId188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9" w:right="360" w:hanging="3"/>
        <w:spacing w:before="42" w:line="266" w:lineRule="auto"/>
        <w:rPr/>
      </w:pPr>
      <w:bookmarkStart w:name="bookmark48" w:id="31"/>
      <w:bookmarkEnd w:id="31"/>
      <w:r>
        <w:rPr>
          <w:color w:val="231F20"/>
        </w:rPr>
        <w:t>元，实现净利润</w:t>
      </w:r>
      <w:r>
        <w:rPr>
          <w:rFonts w:ascii="Times New Roman" w:hAnsi="Times New Roman" w:eastAsia="Times New Roman" w:cs="Times New Roman"/>
          <w:color w:val="231F20"/>
        </w:rPr>
        <w:t>5.22</w:t>
      </w:r>
      <w:r>
        <w:rPr>
          <w:color w:val="231F20"/>
        </w:rPr>
        <w:t>万亿元，其中</w:t>
      </w:r>
      <w:r>
        <w:rPr>
          <w:rFonts w:ascii="Times New Roman" w:hAnsi="Times New Roman" w:eastAsia="Times New Roman" w:cs="Times New Roman"/>
          <w:color w:val="231F20"/>
        </w:rPr>
        <w:t>4036</w:t>
      </w:r>
      <w:r>
        <w:rPr>
          <w:color w:val="231F20"/>
        </w:rPr>
        <w:t>家、超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七成的公司实现盈利，盈利能力保持稳定。</w:t>
      </w:r>
    </w:p>
    <w:p>
      <w:pPr>
        <w:pStyle w:val="BodyText"/>
        <w:ind w:left="417"/>
        <w:spacing w:before="111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（三）制度建设</w:t>
      </w:r>
    </w:p>
    <w:p>
      <w:pPr>
        <w:pStyle w:val="BodyText"/>
        <w:ind w:left="4" w:right="359" w:firstLine="427"/>
        <w:spacing w:before="251" w:line="249" w:lineRule="auto"/>
        <w:jc w:val="both"/>
        <w:rPr/>
      </w:pPr>
      <w:r>
        <w:rPr>
          <w:color w:val="231F20"/>
          <w:spacing w:val="3"/>
        </w:rPr>
        <w:t>一是中国证监会于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4</w:t>
      </w:r>
      <w:r>
        <w:rPr>
          <w:color w:val="231F20"/>
          <w:spacing w:val="3"/>
        </w:rPr>
        <w:t>月发布《关于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严格执行退市制度的意见》，内容包括进一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步严格强制退市标准，拓宽多元退市渠道，</w:t>
      </w:r>
      <w:r>
        <w:rPr>
          <w:color w:val="231F20"/>
        </w:rPr>
        <w:t xml:space="preserve">  </w:t>
      </w:r>
      <w:r>
        <w:rPr>
          <w:color w:val="231F20"/>
          <w:spacing w:val="7"/>
        </w:rPr>
        <w:t>削减“壳”资源价值，加强监管执法工作，</w:t>
      </w:r>
      <w:r>
        <w:rPr>
          <w:color w:val="231F20"/>
        </w:rPr>
        <w:t xml:space="preserve">  </w:t>
      </w:r>
      <w:r>
        <w:rPr>
          <w:color w:val="231F20"/>
          <w:spacing w:val="7"/>
        </w:rPr>
        <w:t>更大力度落实退市投资者赔偿救济等方面，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推动提高上市公司质量，更好保护投资者权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益，净化资本市场生态。</w:t>
      </w:r>
    </w:p>
    <w:p>
      <w:pPr>
        <w:pStyle w:val="BodyText"/>
        <w:ind w:left="431"/>
        <w:spacing w:line="182" w:lineRule="auto"/>
        <w:rPr/>
      </w:pPr>
      <w:r>
        <w:rPr>
          <w:color w:val="231F20"/>
          <w:spacing w:val="14"/>
        </w:rPr>
        <w:t>二是中国证监会于</w:t>
      </w:r>
      <w:r>
        <w:rPr>
          <w:rFonts w:ascii="Times New Roman" w:hAnsi="Times New Roman" w:eastAsia="Times New Roman" w:cs="Times New Roman"/>
          <w:color w:val="231F20"/>
          <w:spacing w:val="14"/>
        </w:rPr>
        <w:t>2024</w:t>
      </w:r>
      <w:r>
        <w:rPr>
          <w:color w:val="231F20"/>
          <w:spacing w:val="14"/>
        </w:rPr>
        <w:t>年</w:t>
      </w:r>
      <w:r>
        <w:rPr>
          <w:rFonts w:ascii="Times New Roman" w:hAnsi="Times New Roman" w:eastAsia="Times New Roman" w:cs="Times New Roman"/>
          <w:color w:val="231F20"/>
          <w:spacing w:val="14"/>
        </w:rPr>
        <w:t>4</w:t>
      </w:r>
      <w:r>
        <w:rPr>
          <w:color w:val="231F20"/>
          <w:spacing w:val="14"/>
        </w:rPr>
        <w:t>月修订发布</w:t>
      </w:r>
    </w:p>
    <w:p>
      <w:pPr>
        <w:spacing w:line="113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44" w:line="249" w:lineRule="auto"/>
        <w:rPr/>
      </w:pPr>
      <w:r>
        <w:rPr>
          <w:color w:val="231F20"/>
          <w:spacing w:val="8"/>
        </w:rPr>
        <w:t>《关于加强上市证券公司监管的规定》，明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确要求上市证券公司以更鲜明的人民立场、</w:t>
      </w:r>
      <w:r>
        <w:rPr>
          <w:color w:val="231F20"/>
        </w:rPr>
        <w:t xml:space="preserve">  </w:t>
      </w:r>
      <w:r>
        <w:rPr>
          <w:color w:val="231F20"/>
          <w:spacing w:val="8"/>
        </w:rPr>
        <w:t>更先进的发展理念、更严格的合规风控和更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8"/>
        </w:rPr>
        <w:t>加规范透明的信息披露，努力回归本源、做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8"/>
        </w:rPr>
        <w:t>优做强，切实担负起引领行业高质量发展的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-3"/>
        </w:rPr>
        <w:t>“领头羊”和“排头兵”作用。</w:t>
      </w:r>
    </w:p>
    <w:p>
      <w:pPr>
        <w:pStyle w:val="BodyText"/>
        <w:ind w:firstLine="426"/>
        <w:spacing w:before="1" w:line="256" w:lineRule="auto"/>
        <w:jc w:val="both"/>
        <w:rPr/>
      </w:pPr>
      <w:r>
        <w:rPr>
          <w:color w:val="231F20"/>
          <w:spacing w:val="14"/>
        </w:rPr>
        <w:t>三是中国证监会于</w:t>
      </w:r>
      <w:r>
        <w:rPr>
          <w:rFonts w:ascii="Times New Roman" w:hAnsi="Times New Roman" w:eastAsia="Times New Roman" w:cs="Times New Roman"/>
          <w:color w:val="231F20"/>
          <w:spacing w:val="14"/>
        </w:rPr>
        <w:t>2024</w:t>
      </w:r>
      <w:r>
        <w:rPr>
          <w:color w:val="231F20"/>
          <w:spacing w:val="14"/>
        </w:rPr>
        <w:t>年</w:t>
      </w:r>
      <w:r>
        <w:rPr>
          <w:rFonts w:ascii="Times New Roman" w:hAnsi="Times New Roman" w:eastAsia="Times New Roman" w:cs="Times New Roman"/>
          <w:color w:val="231F20"/>
          <w:spacing w:val="14"/>
        </w:rPr>
        <w:t>9</w:t>
      </w:r>
      <w:r>
        <w:rPr>
          <w:color w:val="231F20"/>
          <w:spacing w:val="14"/>
        </w:rPr>
        <w:t>月修订发布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《证券公司风险控制指标计算标准规定》，进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一步完善证券公司风险控制指标体系，推动证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券公司落实全面风险管理要求，促进证券公司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高质量发展，提升服务实体经济质效。</w:t>
      </w:r>
    </w:p>
    <w:p>
      <w:pPr>
        <w:spacing w:line="256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7" w:space="100"/>
            <w:col w:w="4162" w:space="0"/>
          </w:cols>
        </w:sectPr>
        <w:rPr/>
      </w:pPr>
    </w:p>
    <w:p>
      <w:pPr>
        <w:pStyle w:val="BodyText"/>
        <w:spacing w:line="260" w:lineRule="auto"/>
        <w:rPr/>
      </w:pPr>
      <w:r/>
    </w:p>
    <w:p>
      <w:pPr>
        <w:pStyle w:val="BodyText"/>
        <w:ind w:left="299"/>
        <w:spacing w:before="137" w:line="174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412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-98370</wp:posOffset>
                </wp:positionV>
                <wp:extent cx="5580380" cy="4681220"/>
                <wp:effectExtent l="0" t="0" r="0" b="0"/>
                <wp:wrapNone/>
                <wp:docPr id="374" name="Rect 374"/>
                <wp:cNvGraphicFramePr/>
                <a:graphic>
                  <a:graphicData uri="http://schemas.microsoft.com/office/word/2010/wordprocessingShape">
                    <wps:wsp>
                      <wps:cNvPr id="374" name="Rect 374"/>
                      <wps:cNvSpPr/>
                      <wps:spPr>
                        <a:xfrm>
                          <a:off x="0" y="-98370"/>
                          <a:ext cx="5580380" cy="468122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2" style="position:absolute;margin-left:0pt;margin-top:-7.7457pt;mso-position-vertical-relative:text;mso-position-horizontal-relative:text;width:439.4pt;height:368.6pt;z-index:-251275264;" fillcolor="#D4E5F5" filled="true" stroked="false"/>
            </w:pict>
          </mc:Fallback>
        </mc:AlternateContent>
      </w:r>
      <w:bookmarkStart w:name="bookmark26" w:id="32"/>
      <w:bookmarkEnd w:id="32"/>
      <w:r>
        <w:rPr>
          <w:sz w:val="28"/>
          <w:szCs w:val="28"/>
          <w:color w:val="231F20"/>
          <w:spacing w:val="-1"/>
        </w:rPr>
        <w:t>专栏九    建立市值管理制度     推动上市公司投资价值持续提升</w:t>
      </w:r>
    </w:p>
    <w:p>
      <w:pPr>
        <w:spacing w:line="325" w:lineRule="exact"/>
        <w:rPr/>
      </w:pPr>
      <w:r/>
    </w:p>
    <w:p>
      <w:pPr>
        <w:spacing w:line="325" w:lineRule="exact"/>
        <w:sectPr>
          <w:type w:val="continuous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67" w:right="355" w:firstLine="451"/>
        <w:spacing w:before="42" w:line="250" w:lineRule="auto"/>
        <w:rPr/>
      </w:pPr>
      <w:r>
        <w:rPr>
          <w:color w:val="231F20"/>
          <w:spacing w:val="5"/>
        </w:rPr>
        <w:t>近年来，党中央、国务院高度重视资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6"/>
        </w:rPr>
        <w:t>本市场改革发展工作，对提高上市公司质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量、提升投资者回报作出重要决策部署。 </w:t>
      </w:r>
      <w:r>
        <w:rPr>
          <w:color w:val="231F20"/>
          <w:spacing w:val="18"/>
        </w:rPr>
        <w:t>《国务院关于加强监管防范风险推动资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本市场高质量发展的若干意见》指出，要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6"/>
        </w:rPr>
        <w:t>进一步引导上市公司提高对自身投资价值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的关注，指导上市公司依法依规开展相关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工作，切实提升投资者回报。中国证监会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制定并发布市值管理制度，大力引导上市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公司在提升公司质量的基础上开展市值管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理，上市公司投资价值日益彰显。</w:t>
      </w:r>
    </w:p>
    <w:p>
      <w:pPr>
        <w:pStyle w:val="BodyText"/>
        <w:ind w:left="721"/>
        <w:spacing w:before="1" w:line="174" w:lineRule="auto"/>
        <w:rPr/>
      </w:pPr>
      <w:r>
        <w:rPr>
          <w:color w:val="231F20"/>
          <w:spacing w:val="-2"/>
        </w:rPr>
        <w:t>一、加强市值管理的举措及成效</w:t>
      </w:r>
    </w:p>
    <w:p>
      <w:pPr>
        <w:pStyle w:val="BodyText"/>
        <w:ind w:left="290" w:right="356" w:firstLine="428"/>
        <w:spacing w:before="118" w:line="212" w:lineRule="auto"/>
        <w:rPr/>
      </w:pPr>
      <w:r>
        <w:rPr>
          <w:color w:val="231F20"/>
          <w:spacing w:val="8"/>
        </w:rPr>
        <w:t>一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8"/>
        </w:rPr>
        <w:t>是发布市值管理指引 ，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8"/>
        </w:rPr>
        <w:t>进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8"/>
        </w:rPr>
        <w:t>一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8"/>
        </w:rPr>
        <w:t>步引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导上市公司关注</w:t>
      </w:r>
      <w:r>
        <w:rPr>
          <w:color w:val="231F20"/>
          <w:spacing w:val="28"/>
          <w:w w:val="101"/>
        </w:rPr>
        <w:t xml:space="preserve"> </w:t>
      </w:r>
      <w:r>
        <w:rPr>
          <w:color w:val="231F20"/>
          <w:spacing w:val="9"/>
        </w:rPr>
        <w:t>自身投资价值 。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9"/>
        </w:rPr>
        <w:t>上市公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>司是资本市场的基石，上市公司投资价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4" w:firstLine="1"/>
        <w:spacing w:before="41" w:line="242" w:lineRule="auto"/>
        <w:jc w:val="both"/>
        <w:rPr/>
      </w:pPr>
      <w:r>
        <w:rPr>
          <w:color w:val="231F20"/>
          <w:spacing w:val="18"/>
        </w:rPr>
        <w:t>值是上市公司质量的市场反映，直接影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响投资者信心和获得感。2024年11月，中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8"/>
        </w:rPr>
        <w:t>国证监会制定并发布《上市公司监管指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6"/>
        </w:rPr>
        <w:t>引第10号——市值管理》（以下简称《指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8"/>
        </w:rPr>
        <w:t>引》</w:t>
      </w:r>
      <w:r>
        <w:rPr>
          <w:color w:val="231F20"/>
          <w:spacing w:val="19"/>
        </w:rPr>
        <w:t>），</w:t>
      </w:r>
      <w:r>
        <w:rPr>
          <w:color w:val="231F20"/>
          <w:spacing w:val="18"/>
        </w:rPr>
        <w:t>要求上市公司以提高公司质量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为基础，依法合规运用现金分红、股份回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3"/>
        </w:rPr>
        <w:t>购、大股东增持等多种手段回报投资者，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5"/>
        </w:rPr>
        <w:t>明确了上市公司董事会、董事和高级管理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人员等相关方的责任，并对主要指数成份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股公司制定市值管理制度、长期破净公司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8"/>
        </w:rPr>
        <w:t>披露估值提升计划等作出专门要求。同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时，《指引》明确禁止上市公司以市值管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理为名实施违法违规行为。《指引》的出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台，有利于从制度上进一步引导上市公司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关注自身投资价值，也有利于切实提升投</w:t>
      </w:r>
    </w:p>
    <w:p>
      <w:pPr>
        <w:spacing w:line="242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4" w:space="100"/>
            <w:col w:w="4165" w:space="0"/>
          </w:cols>
        </w:sectPr>
        <w:rPr/>
      </w:pPr>
    </w:p>
    <w:p>
      <w:pPr>
        <w:spacing w:before="336"/>
        <w:rPr/>
      </w:pPr>
      <w:r/>
    </w:p>
    <w:p>
      <w:pPr>
        <w:sectPr>
          <w:headerReference w:type="default" r:id="rId189"/>
          <w:pgSz w:w="11906" w:h="16158"/>
          <w:pgMar w:top="1367" w:right="1700" w:bottom="400" w:left="1417" w:header="1044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304"/>
        <w:spacing w:before="45" w:line="194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514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-114743</wp:posOffset>
                </wp:positionV>
                <wp:extent cx="5580380" cy="7889240"/>
                <wp:effectExtent l="0" t="0" r="0" b="0"/>
                <wp:wrapNone/>
                <wp:docPr id="378" name="Rect 378"/>
                <wp:cNvGraphicFramePr/>
                <a:graphic>
                  <a:graphicData uri="http://schemas.microsoft.com/office/word/2010/wordprocessingShape">
                    <wps:wsp>
                      <wps:cNvPr id="378" name="Rect 378"/>
                      <wps:cNvSpPr/>
                      <wps:spPr>
                        <a:xfrm>
                          <a:off x="0" y="-114743"/>
                          <a:ext cx="5580380" cy="78892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4" style="position:absolute;margin-left:0pt;margin-top:-9.03491pt;mso-position-vertical-relative:text;mso-position-horizontal-relative:text;width:439.4pt;height:621.2pt;z-index:-251265024;" fillcolor="#D4E5F5" filled="true" stroked="false"/>
            </w:pict>
          </mc:Fallback>
        </mc:AlternateContent>
      </w:r>
      <w:r>
        <w:rPr>
          <w:color w:val="231F20"/>
          <w:spacing w:val="-8"/>
        </w:rPr>
        <w:t>资者回报。</w:t>
      </w:r>
    </w:p>
    <w:p>
      <w:pPr>
        <w:pStyle w:val="BodyText"/>
        <w:ind w:left="285" w:right="343" w:firstLine="432"/>
        <w:spacing w:before="108" w:line="249" w:lineRule="auto"/>
        <w:rPr/>
      </w:pPr>
      <w:r>
        <w:rPr>
          <w:color w:val="231F20"/>
          <w:spacing w:val="5"/>
        </w:rPr>
        <w:t>二是推动上市公司持续加大现金分红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力度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实施一年多次分红和春节前分红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。 </w:t>
      </w:r>
      <w:r>
        <w:rPr>
          <w:color w:val="231F20"/>
          <w:spacing w:val="3"/>
        </w:rPr>
        <w:t>现金分红是对投资者最直接的回报方式，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5"/>
        </w:rPr>
        <w:t>持续稳定的现金分红有助于增强投资者持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股的信心，提高对公司投资价值的认同。 </w:t>
      </w:r>
      <w:r>
        <w:rPr>
          <w:color w:val="231F20"/>
          <w:spacing w:val="5"/>
        </w:rPr>
        <w:t>中国证监会致力于推动构建常态化分红机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制，让上市公司为投资者创造更多、更频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繁、更稳定的分红预期，提升分红及时性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和获得感。2024年，沪深上市公司分红总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2"/>
        </w:rPr>
        <w:t>金额达到约2.4万亿元，同比增长12.7%，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成为投资者财产性收入的重要来源。985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家上市公司宣告或实施2024年中期分红，</w:t>
      </w:r>
      <w:r>
        <w:rPr>
          <w:color w:val="231F20"/>
        </w:rPr>
        <w:t xml:space="preserve">  </w:t>
      </w:r>
      <w:r>
        <w:rPr>
          <w:color w:val="231F20"/>
          <w:spacing w:val="4"/>
        </w:rPr>
        <w:t>分红金额达6995.3亿元，家数和金额分别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为上年同期的4.3倍、2.7倍。此外，超300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家公司在春节前两个月内（2024年12月至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2025年1月）实施分红，分红金额达344</w:t>
      </w:r>
      <w:r>
        <w:rPr>
          <w:color w:val="231F20"/>
          <w:spacing w:val="-4"/>
        </w:rPr>
        <w:t>4.4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>亿元，家数和金额分别是上年同期的9.1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倍、7.7倍。</w:t>
      </w:r>
    </w:p>
    <w:p>
      <w:pPr>
        <w:pStyle w:val="BodyText"/>
        <w:ind w:left="288" w:right="344" w:firstLine="432"/>
        <w:spacing w:before="2" w:line="238" w:lineRule="auto"/>
        <w:rPr/>
      </w:pPr>
      <w:r>
        <w:rPr>
          <w:color w:val="231F20"/>
          <w:spacing w:val="8"/>
        </w:rPr>
        <w:t>三是引导上市公 司和主要股 东 回购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增持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，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用好用足增量货币政策工具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。上市 </w:t>
      </w:r>
      <w:r>
        <w:rPr>
          <w:color w:val="231F20"/>
          <w:spacing w:val="5"/>
        </w:rPr>
        <w:t>公司股份回购、主要股东增持能够向市场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传递看好公司经营发展和行业未来前景的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信号，有利于更好回报投资者、维护公司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价值和股东权益、优化股东结构，是境外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成熟市场公司市值管理的一项重要工具。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2024年，中国证监会持续引导、鼓励上市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0"/>
        </w:rPr>
        <w:t>公司和主要股东回购增持。9月，中国人 </w:t>
      </w:r>
      <w:r>
        <w:rPr>
          <w:color w:val="231F20"/>
          <w:spacing w:val="5"/>
        </w:rPr>
        <w:t>民银行设立股票回购增持再贷款，支持维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1" w:right="282" w:firstLine="9"/>
        <w:spacing w:before="50" w:line="249" w:lineRule="auto"/>
        <w:rPr/>
      </w:pPr>
      <w:r>
        <w:rPr>
          <w:color w:val="231F20"/>
          <w:spacing w:val="2"/>
        </w:rPr>
        <w:t>护资本市场稳定运行。2024年沪深两市上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市公司共披露回购方案1472单、金额上限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2"/>
        </w:rPr>
        <w:t>2128亿元，数量和金额分别为上年同期的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</w:rPr>
        <w:t>2倍和1.6倍；共披露股东增持计划742单、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9"/>
        </w:rPr>
        <w:t>金额上限852亿元，数量和金额分别为上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>年同期的2倍和1.7倍。此外，回购类型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9"/>
        </w:rPr>
        <w:t>进一步优化。共披露注销式回购方案249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单、金额约584亿元，14家注销上限超10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6"/>
        </w:rPr>
        <w:t>亿元。</w:t>
      </w:r>
    </w:p>
    <w:p>
      <w:pPr>
        <w:pStyle w:val="BodyText"/>
        <w:ind w:right="267" w:firstLine="449"/>
        <w:spacing w:before="19" w:line="249" w:lineRule="auto"/>
        <w:jc w:val="both"/>
        <w:rPr/>
      </w:pPr>
      <w:r>
        <w:rPr>
          <w:color w:val="231F20"/>
          <w:spacing w:val="13"/>
        </w:rPr>
        <w:t>四是积极推动并购重组 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3"/>
        </w:rPr>
        <w:t>促进资源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优化配置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4"/>
        </w:rPr>
        <w:t>。并购重组是资本市场优化资源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配置的重要手段，也是市值管理的关键举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7"/>
        </w:rPr>
        <w:t>措。2024年9月，中国证监会发布《关于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7"/>
        </w:rPr>
        <w:t>深化上市公司并购重组市场改革的意见》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（以下简称“并购六条”），鼓励上市公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8"/>
        </w:rPr>
        <w:t>司通过并购重组实现产业整合、转型升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-3"/>
        </w:rPr>
        <w:t>级。“并购六条”发布以来，截至2025年6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3"/>
        </w:rPr>
        <w:t>月底，上市公司累计披露资产重组1600余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单，同比增长42%；其中重大资产重组近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200单，同比增长216%，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1"/>
        </w:rPr>
        <w:t>新兴行业成为并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购重点领域。上市公司通过并购重组，可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6"/>
        </w:rPr>
        <w:t>以整合产业链资源，提升核心竞争力，实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6"/>
        </w:rPr>
        <w:t>现规模效应和协同效应，进而提升公司内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在价值和市场估值。</w:t>
      </w:r>
    </w:p>
    <w:p>
      <w:pPr>
        <w:pStyle w:val="BodyText"/>
        <w:ind w:left="446"/>
        <w:spacing w:line="174" w:lineRule="auto"/>
        <w:rPr/>
      </w:pPr>
      <w:r>
        <w:rPr>
          <w:color w:val="231F20"/>
          <w:spacing w:val="-2"/>
        </w:rPr>
        <w:t>二、下一步工作</w:t>
      </w:r>
    </w:p>
    <w:p>
      <w:pPr>
        <w:pStyle w:val="BodyText"/>
        <w:ind w:left="23" w:right="283" w:firstLine="421"/>
        <w:spacing w:before="120" w:line="221" w:lineRule="auto"/>
        <w:jc w:val="both"/>
        <w:rPr/>
      </w:pPr>
      <w:r>
        <w:rPr>
          <w:color w:val="231F20"/>
          <w:spacing w:val="3"/>
        </w:rPr>
        <w:t>一是开展上市公司常态化走访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</w:rPr>
        <w:t>，推动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解决实际困难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3"/>
        </w:rPr>
        <w:t>。主动了解上市公司在市值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管理、经营发展中遇到的困难和问题，及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4"/>
        </w:rPr>
        <w:t>时给予指导和帮助。针对上市公司提出的</w:t>
      </w:r>
    </w:p>
    <w:p>
      <w:pPr>
        <w:spacing w:line="221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12" w:space="100"/>
            <w:col w:w="4176" w:space="0"/>
          </w:cols>
        </w:sectPr>
        <w:rPr/>
      </w:pPr>
    </w:p>
    <w:p>
      <w:pPr>
        <w:spacing w:before="319"/>
        <w:rPr/>
      </w:pPr>
      <w:r/>
    </w:p>
    <w:p>
      <w:pPr>
        <w:sectPr>
          <w:headerReference w:type="default" r:id="rId190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9" w:right="355" w:firstLine="1"/>
        <w:spacing w:before="49" w:line="249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6169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-111878</wp:posOffset>
                </wp:positionV>
                <wp:extent cx="5580380" cy="4422140"/>
                <wp:effectExtent l="0" t="0" r="0" b="0"/>
                <wp:wrapNone/>
                <wp:docPr id="380" name="Rect 380"/>
                <wp:cNvGraphicFramePr/>
                <a:graphic>
                  <a:graphicData uri="http://schemas.microsoft.com/office/word/2010/wordprocessingShape">
                    <wps:wsp>
                      <wps:cNvPr id="380" name="Rect 380"/>
                      <wps:cNvSpPr/>
                      <wps:spPr>
                        <a:xfrm>
                          <a:off x="0" y="-111878"/>
                          <a:ext cx="5580380" cy="44221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36" style="position:absolute;margin-left:0pt;margin-top:-8.80933pt;mso-position-vertical-relative:text;mso-position-horizontal-relative:text;width:439.4pt;height:348.2pt;z-index:-251254784;" fillcolor="#D4E5F5" filled="true" stroked="false"/>
            </w:pict>
          </mc:Fallback>
        </mc:AlternateContent>
      </w:r>
      <w:r>
        <w:rPr>
          <w:color w:val="231F20"/>
          <w:spacing w:val="5"/>
        </w:rPr>
        <w:t>共性问题，研究制定相关政策措施，为上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市公司发展创造良好的政策环境。加强与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地方政府、相关行业协会等各方的协同合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作，形成工作合力，共同推动上市公司高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质量发展和市值提升。</w:t>
      </w:r>
    </w:p>
    <w:p>
      <w:pPr>
        <w:pStyle w:val="BodyText"/>
        <w:ind w:left="285" w:right="350" w:firstLine="433"/>
        <w:spacing w:before="15" w:line="243" w:lineRule="auto"/>
        <w:rPr/>
      </w:pPr>
      <w:r>
        <w:rPr>
          <w:color w:val="231F20"/>
          <w:spacing w:val="15"/>
        </w:rPr>
        <w:t>二是多措并举推动上市公 司质量提</w:t>
      </w:r>
      <w:r>
        <w:rPr>
          <w:color w:val="231F20"/>
          <w:spacing w:val="14"/>
          <w:w w:val="102"/>
        </w:rPr>
        <w:t xml:space="preserve"> </w:t>
      </w:r>
      <w:r>
        <w:rPr>
          <w:color w:val="231F20"/>
          <w:spacing w:val="3"/>
        </w:rPr>
        <w:t>升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3"/>
        </w:rPr>
        <w:t>。持续加强上市公司监管，严厉打击财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务造假、大股东侵占上市公司利益等违法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行为，净化市场环境。推动资本市场“服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8"/>
        </w:rPr>
        <w:t>务建设现代化产业体系十六条”落实落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地。持续推动“并购六条”相关举措落实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落地，推出更多典型示范案例，鼓励以产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业整合升级为目的的并购重组。持续从严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打击并购重组中内幕交易、财务造假、违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规举牌等违法违规行为。</w:t>
      </w:r>
    </w:p>
    <w:p>
      <w:pPr>
        <w:pStyle w:val="BodyText"/>
        <w:ind w:left="721"/>
        <w:spacing w:before="93" w:line="194" w:lineRule="auto"/>
        <w:rPr/>
      </w:pPr>
      <w:r>
        <w:rPr>
          <w:color w:val="231F20"/>
          <w:spacing w:val="11"/>
        </w:rPr>
        <w:t>三是压 实上市公 司市值管理主体责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3" w:firstLine="3"/>
        <w:spacing w:before="50" w:line="249" w:lineRule="auto"/>
        <w:jc w:val="both"/>
        <w:rPr/>
      </w:pPr>
      <w:r>
        <w:rPr>
          <w:color w:val="231F20"/>
          <w:spacing w:val="1"/>
        </w:rPr>
        <w:t>任 ，发挥市场主体积极性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1"/>
        </w:rPr>
        <w:t>。督促主要指数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成份股公司建立市值管理制度，督促长期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破净公司制定估值提升计划，鼓励上市公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司积极做好与股东的沟通，引导股东长期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投资。继续引导上市公司对外做好信息披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露和投资者关系管理，对内建立健全长期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激励约束机制，充分运用股权激励、员工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持股计划等工具，强化管理层、员工与上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市公司的长期利益一致性。</w:t>
      </w:r>
    </w:p>
    <w:p>
      <w:pPr>
        <w:pStyle w:val="BodyText"/>
        <w:ind w:left="7" w:right="283" w:firstLine="431"/>
        <w:spacing w:before="5" w:line="249" w:lineRule="auto"/>
        <w:rPr/>
      </w:pPr>
      <w:r>
        <w:rPr>
          <w:color w:val="231F20"/>
          <w:spacing w:val="-1"/>
        </w:rPr>
        <w:t>四是加大监管力度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，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1"/>
        </w:rPr>
        <w:t>防范市场风险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。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>严厉打击以市值管理为名实施的操纵市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场、内幕交易、违规信息披露等各类违法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违规行为，切实保护投资者合法权益。建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立健全风险监测和预警机制，及时发现和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处置市值管理过程中的潜在风险，维护资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本市场的稳定运行。</w:t>
      </w:r>
    </w:p>
    <w:p>
      <w:pPr>
        <w:spacing w:line="249" w:lineRule="auto"/>
        <w:sectPr>
          <w:type w:val="continuous"/>
          <w:pgSz w:w="11906" w:h="16158"/>
          <w:pgMar w:top="1384" w:right="1417" w:bottom="400" w:left="1700" w:header="1061" w:footer="0" w:gutter="0"/>
          <w:cols w:equalWidth="0" w:num="2">
            <w:col w:w="4523" w:space="100"/>
            <w:col w:w="4166" w:space="0"/>
          </w:cols>
        </w:sectPr>
        <w:rPr/>
      </w:pPr>
    </w:p>
    <w:p>
      <w:pPr>
        <w:spacing w:line="403" w:lineRule="exact"/>
        <w:rPr/>
      </w:pPr>
      <w:r/>
    </w:p>
    <w:p>
      <w:pPr>
        <w:spacing w:line="403" w:lineRule="exact"/>
        <w:sectPr>
          <w:type w:val="continuous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485"/>
        <w:spacing w:before="59" w:line="174" w:lineRule="auto"/>
        <w:outlineLvl w:val="0"/>
        <w:rPr>
          <w:sz w:val="28"/>
          <w:szCs w:val="28"/>
        </w:rPr>
      </w:pPr>
      <w:bookmarkStart w:name="bookmark9" w:id="33"/>
      <w:bookmarkEnd w:id="33"/>
      <w:r>
        <w:rPr>
          <w:sz w:val="28"/>
          <w:szCs w:val="28"/>
          <w:color w:val="174B8B"/>
          <w:spacing w:val="-3"/>
        </w:rPr>
        <w:t>三、资产管理行业</w:t>
      </w:r>
    </w:p>
    <w:p>
      <w:pPr>
        <w:pStyle w:val="BodyText"/>
        <w:ind w:left="417"/>
        <w:spacing w:before="428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（一）资产管理行业稳健运行</w:t>
      </w:r>
    </w:p>
    <w:p>
      <w:pPr>
        <w:pStyle w:val="BodyText"/>
        <w:ind w:left="3" w:right="357" w:firstLine="433"/>
        <w:spacing w:before="239" w:line="250" w:lineRule="auto"/>
        <w:jc w:val="both"/>
        <w:rPr/>
      </w:pPr>
      <w:r>
        <w:pict>
          <v:shape id="_x0000_s138" style="position:absolute;margin-left:0.250397pt;margin-top:182.715pt;mso-position-vertical-relative:text;mso-position-horizontal-relative:text;width:90.75pt;height:0.5pt;z-index:252062720;" filled="false" strokecolor="#231F20" strokeweight="0.50pt" coordsize="1815,10" coordorigin="0,0" path="m0,5l1814,5e">
            <v:stroke joinstyle="miter" miterlimit="4"/>
          </v:shape>
        </w:pict>
      </w:r>
      <w:r>
        <w:rPr>
          <w:color w:val="231F20"/>
          <w:spacing w:val="23"/>
        </w:rPr>
        <w:t>资管产品总资产规模增速较快，底层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资产对存单、债券的配置和同业逆回购规模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6"/>
        </w:rPr>
        <w:t>快速增长。 根据中国人民银行调查统计司数 </w:t>
      </w:r>
      <w:r>
        <w:rPr>
          <w:color w:val="231F20"/>
          <w:spacing w:val="17"/>
        </w:rPr>
        <w:t>据，截至</w:t>
      </w:r>
      <w:r>
        <w:rPr>
          <w:rFonts w:ascii="Times New Roman" w:hAnsi="Times New Roman" w:eastAsia="Times New Roman" w:cs="Times New Roman"/>
          <w:color w:val="231F20"/>
          <w:spacing w:val="17"/>
        </w:rPr>
        <w:t>2024</w:t>
      </w:r>
      <w:r>
        <w:rPr>
          <w:rFonts w:ascii="Times New Roman" w:hAnsi="Times New Roman" w:eastAsia="Times New Roman" w:cs="Times New Roman"/>
          <w:color w:val="231F20"/>
          <w:spacing w:val="-10"/>
        </w:rPr>
        <w:t xml:space="preserve"> </w:t>
      </w:r>
      <w:r>
        <w:rPr>
          <w:color w:val="231F20"/>
          <w:spacing w:val="17"/>
        </w:rPr>
        <w:t>年末，资管产品总资产规模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103.83</w:t>
      </w:r>
      <w:r>
        <w:rPr>
          <w:color w:val="231F20"/>
          <w:spacing w:val="8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8"/>
        </w:rPr>
        <w:t>12.50%</w:t>
      </w:r>
      <w:r>
        <w:rPr>
          <w:color w:val="231F20"/>
          <w:spacing w:val="7"/>
        </w:rPr>
        <w:t>。从资管产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品底层资产配置情况来看，资管产品配置存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单</w:t>
      </w:r>
      <w:r>
        <w:rPr>
          <w:rFonts w:ascii="Times New Roman" w:hAnsi="Times New Roman" w:eastAsia="Times New Roman" w:cs="Times New Roman"/>
          <w:color w:val="231F20"/>
          <w:spacing w:val="3"/>
        </w:rPr>
        <w:t>10.27</w:t>
      </w:r>
      <w:r>
        <w:rPr>
          <w:color w:val="231F20"/>
          <w:spacing w:val="3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3"/>
        </w:rPr>
        <w:t>37.14%</w:t>
      </w:r>
      <w:r>
        <w:rPr>
          <w:color w:val="231F20"/>
          <w:spacing w:val="3"/>
        </w:rPr>
        <w:t>；配置债券</w:t>
      </w:r>
      <w:r>
        <w:rPr>
          <w:color w:val="231F20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32.77</w:t>
      </w:r>
      <w:r>
        <w:rPr>
          <w:color w:val="231F20"/>
          <w:spacing w:val="-1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8.29%</w:t>
      </w:r>
      <w:r>
        <w:rPr>
          <w:color w:val="231F20"/>
          <w:spacing w:val="-1"/>
        </w:rPr>
        <w:t>；同业逆回购和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"/>
        <w:spacing w:before="50" w:line="179" w:lineRule="auto"/>
        <w:rPr/>
      </w:pPr>
      <w:r>
        <w:rPr>
          <w:color w:val="231F20"/>
          <w:spacing w:val="-1"/>
        </w:rPr>
        <w:t>拆借</w:t>
      </w:r>
      <w:r>
        <w:rPr>
          <w:rFonts w:ascii="Times New Roman" w:hAnsi="Times New Roman" w:eastAsia="Times New Roman" w:cs="Times New Roman"/>
          <w:color w:val="231F20"/>
          <w:spacing w:val="-1"/>
        </w:rPr>
        <w:t>6.50</w:t>
      </w:r>
      <w:r>
        <w:rPr>
          <w:color w:val="231F20"/>
          <w:spacing w:val="-1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37.41%</w:t>
      </w:r>
      <w:r>
        <w:rPr>
          <w:color w:val="231F20"/>
          <w:spacing w:val="-1"/>
        </w:rPr>
        <w:t>。</w:t>
      </w:r>
    </w:p>
    <w:p>
      <w:pPr>
        <w:pStyle w:val="BodyText"/>
        <w:ind w:firstLine="432"/>
        <w:spacing w:before="122" w:line="249" w:lineRule="auto"/>
        <w:jc w:val="both"/>
        <w:rPr/>
      </w:pPr>
      <w:r>
        <w:rPr>
          <w:color w:val="231F20"/>
          <w:spacing w:val="23"/>
        </w:rPr>
        <w:t>资管产品的净值化比例继续提升，投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资非标准化债权类资产规模继续收缩。   截至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年末，净值型产品募集余额占全部资管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6"/>
        </w:rPr>
        <w:t>产品募集余额的</w:t>
      </w:r>
      <w:r>
        <w:rPr>
          <w:rFonts w:ascii="Times New Roman" w:hAnsi="Times New Roman" w:eastAsia="Times New Roman" w:cs="Times New Roman"/>
          <w:color w:val="231F20"/>
          <w:spacing w:val="6"/>
        </w:rPr>
        <w:t>94.66%</w:t>
      </w:r>
      <w:r>
        <w:rPr>
          <w:color w:val="231F20"/>
          <w:spacing w:val="6"/>
        </w:rPr>
        <w:t>。资管产品投资非标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</w:rPr>
        <w:t>准化债权类资产规模</w:t>
      </w:r>
      <w:r>
        <w:rPr>
          <w:rFonts w:ascii="Times New Roman" w:hAnsi="Times New Roman" w:eastAsia="Times New Roman" w:cs="Times New Roman"/>
          <w:color w:val="231F20"/>
        </w:rPr>
        <w:t>7.02</w:t>
      </w:r>
      <w:r>
        <w:rPr>
          <w:color w:val="231F20"/>
        </w:rPr>
        <w:t>万亿元，占资管产品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总资产的</w:t>
      </w:r>
      <w:r>
        <w:rPr>
          <w:rFonts w:ascii="Times New Roman" w:hAnsi="Times New Roman" w:eastAsia="Times New Roman" w:cs="Times New Roman"/>
          <w:color w:val="231F20"/>
          <w:spacing w:val="2"/>
        </w:rPr>
        <w:t>6.76%</w:t>
      </w:r>
      <w:r>
        <w:rPr>
          <w:color w:val="231F20"/>
          <w:spacing w:val="2"/>
        </w:rPr>
        <w:t>，投资规模较上年末减少</w:t>
      </w:r>
      <w:r>
        <w:rPr>
          <w:rFonts w:ascii="Times New Roman" w:hAnsi="Times New Roman" w:eastAsia="Times New Roman" w:cs="Times New Roman"/>
          <w:color w:val="231F20"/>
          <w:spacing w:val="2"/>
        </w:rPr>
        <w:t>1042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-8"/>
        </w:rPr>
        <w:t>亿元。</w:t>
      </w:r>
    </w:p>
    <w:p>
      <w:pPr>
        <w:pStyle w:val="BodyText"/>
        <w:ind w:left="3" w:firstLine="428"/>
        <w:spacing w:line="261" w:lineRule="auto"/>
        <w:jc w:val="both"/>
        <w:rPr/>
      </w:pPr>
      <w:r>
        <w:rPr>
          <w:color w:val="231F20"/>
          <w:spacing w:val="3"/>
        </w:rPr>
        <w:t>资管产品的杠杆率有所下降。  截至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rFonts w:ascii="Times New Roman" w:hAnsi="Times New Roman" w:eastAsia="Times New Roman" w:cs="Times New Roman"/>
          <w:color w:val="231F20"/>
          <w:spacing w:val="1"/>
        </w:rPr>
        <w:t xml:space="preserve"> </w:t>
      </w:r>
      <w:r>
        <w:rPr>
          <w:color w:val="231F20"/>
          <w:spacing w:val="20"/>
        </w:rPr>
        <w:t>年末，受市场环境影响，全部资管产品负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6"/>
        </w:rPr>
        <w:t>债杠杆率</w:t>
      </w:r>
      <w:r>
        <w:rPr>
          <w:color w:val="231F20"/>
          <w:spacing w:val="-23"/>
        </w:rPr>
        <w:t xml:space="preserve"> 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16"/>
          <w:position w:val="8"/>
        </w:rPr>
        <w:t>①</w:t>
      </w:r>
      <w:r>
        <w:rPr>
          <w:rFonts w:ascii="Times New Roman" w:hAnsi="Times New Roman" w:eastAsia="Times New Roman" w:cs="Times New Roman"/>
          <w:color w:val="231F20"/>
          <w:spacing w:val="16"/>
        </w:rPr>
        <w:t>107.50%</w:t>
      </w:r>
      <w:r>
        <w:rPr>
          <w:color w:val="231F20"/>
          <w:spacing w:val="16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16"/>
        </w:rPr>
        <w:t>1.20</w:t>
      </w:r>
      <w:r>
        <w:rPr>
          <w:color w:val="231F20"/>
          <w:spacing w:val="16"/>
        </w:rPr>
        <w:t>个百分</w:t>
      </w:r>
    </w:p>
    <w:p>
      <w:pPr>
        <w:spacing w:line="261" w:lineRule="auto"/>
        <w:sectPr>
          <w:type w:val="continuous"/>
          <w:pgSz w:w="11906" w:h="16158"/>
          <w:pgMar w:top="1384" w:right="1417" w:bottom="400" w:left="1700" w:header="1061" w:footer="0" w:gutter="0"/>
          <w:cols w:equalWidth="0" w:num="2">
            <w:col w:w="4525" w:space="100"/>
            <w:col w:w="4163" w:space="0"/>
          </w:cols>
        </w:sectPr>
        <w:rPr/>
      </w:pPr>
    </w:p>
    <w:p>
      <w:pPr>
        <w:pStyle w:val="BodyText"/>
        <w:ind w:left="342"/>
        <w:spacing w:before="189" w:line="184" w:lineRule="exact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-1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6"/>
          <w:w w:val="101"/>
        </w:rPr>
        <w:t xml:space="preserve"> </w:t>
      </w:r>
      <w:r>
        <w:rPr>
          <w:sz w:val="16"/>
          <w:szCs w:val="16"/>
          <w:color w:val="231F20"/>
          <w:spacing w:val="-1"/>
        </w:rPr>
        <w:t>资管产品负债杠杆率=资管产品总资产/净资</w:t>
      </w:r>
      <w:r>
        <w:rPr>
          <w:sz w:val="16"/>
          <w:szCs w:val="16"/>
          <w:color w:val="231F20"/>
          <w:spacing w:val="-2"/>
        </w:rPr>
        <w:t>产。</w:t>
      </w:r>
    </w:p>
    <w:p>
      <w:pPr>
        <w:spacing w:line="184" w:lineRule="exact"/>
        <w:sectPr>
          <w:type w:val="continuous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>
          <w:sz w:val="16"/>
          <w:szCs w:val="16"/>
        </w:rPr>
      </w:pPr>
    </w:p>
    <w:p>
      <w:pPr>
        <w:spacing w:before="172"/>
        <w:rPr/>
      </w:pPr>
      <w:r/>
    </w:p>
    <w:p>
      <w:pPr>
        <w:sectPr>
          <w:headerReference w:type="default" r:id="rId191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4" w:right="355" w:firstLine="6"/>
        <w:spacing w:before="39" w:line="259" w:lineRule="auto"/>
        <w:jc w:val="both"/>
        <w:rPr/>
      </w:pPr>
      <w:r>
        <w:rPr>
          <w:color w:val="231F20"/>
          <w:spacing w:val="20"/>
        </w:rPr>
        <w:t>点，杠杆风险收敛。其中，理财产品杠杆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13"/>
        </w:rPr>
        <w:t>率</w:t>
      </w:r>
      <w:r>
        <w:rPr>
          <w:rFonts w:ascii="Times New Roman" w:hAnsi="Times New Roman" w:eastAsia="Times New Roman" w:cs="Times New Roman"/>
          <w:color w:val="231F20"/>
          <w:spacing w:val="13"/>
        </w:rPr>
        <w:t>104.14%</w:t>
      </w:r>
      <w:r>
        <w:rPr>
          <w:color w:val="231F20"/>
          <w:spacing w:val="13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13"/>
        </w:rPr>
        <w:t>1.10</w:t>
      </w:r>
      <w:r>
        <w:rPr>
          <w:color w:val="231F20"/>
          <w:spacing w:val="13"/>
        </w:rPr>
        <w:t>个百分点；公募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5"/>
        </w:rPr>
        <w:t>基金杠杆率</w:t>
      </w:r>
      <w:r>
        <w:rPr>
          <w:rFonts w:ascii="Times New Roman" w:hAnsi="Times New Roman" w:eastAsia="Times New Roman" w:cs="Times New Roman"/>
          <w:color w:val="231F20"/>
          <w:spacing w:val="15"/>
        </w:rPr>
        <w:t>109</w:t>
      </w:r>
      <w:r>
        <w:rPr>
          <w:rFonts w:ascii="Times New Roman" w:hAnsi="Times New Roman" w:eastAsia="Times New Roman" w:cs="Times New Roman"/>
          <w:color w:val="231F20"/>
          <w:spacing w:val="-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5"/>
        </w:rPr>
        <w:t>.</w:t>
      </w:r>
      <w:r>
        <w:rPr>
          <w:rFonts w:ascii="Times New Roman" w:hAnsi="Times New Roman" w:eastAsia="Times New Roman" w:cs="Times New Roman"/>
          <w:color w:val="231F20"/>
          <w:spacing w:val="-2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5"/>
        </w:rPr>
        <w:t>21% </w:t>
      </w:r>
      <w:r>
        <w:rPr>
          <w:color w:val="231F20"/>
          <w:spacing w:val="15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15"/>
        </w:rPr>
        <w:t>3.10</w:t>
      </w:r>
      <w:r>
        <w:rPr>
          <w:rFonts w:ascii="Times New Roman" w:hAnsi="Times New Roman" w:eastAsia="Times New Roman" w:cs="Times New Roman"/>
          <w:color w:val="231F20"/>
          <w:spacing w:val="-22"/>
        </w:rPr>
        <w:t xml:space="preserve"> </w:t>
      </w:r>
      <w:r>
        <w:rPr>
          <w:color w:val="231F20"/>
          <w:spacing w:val="15"/>
        </w:rPr>
        <w:t>个百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分点。</w:t>
      </w:r>
    </w:p>
    <w:p>
      <w:pPr>
        <w:pStyle w:val="BodyText"/>
        <w:ind w:left="417"/>
        <w:spacing w:before="105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2"/>
        </w:rPr>
        <w:t>（二）资管行业制度建设不断完善</w:t>
      </w:r>
    </w:p>
    <w:p>
      <w:pPr>
        <w:pStyle w:val="BodyText"/>
        <w:ind w:left="5" w:right="356" w:firstLine="423"/>
        <w:spacing w:before="250" w:line="249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19"/>
        </w:rPr>
        <w:t>2024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19"/>
        </w:rPr>
        <w:t>年，金融管理部门在资管新规框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架下，围绕资管行业强监管、防风险、促高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质量发展，陆续出台了一系列行业监管规则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及制度，进一步完善了资管行业制度政策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体系。</w:t>
      </w:r>
    </w:p>
    <w:p>
      <w:pPr>
        <w:pStyle w:val="BodyText"/>
        <w:ind w:left="5" w:right="356" w:firstLine="426"/>
        <w:spacing w:before="2" w:line="249" w:lineRule="auto"/>
        <w:rPr/>
      </w:pPr>
      <w:r>
        <w:rPr>
          <w:color w:val="231F20"/>
          <w:spacing w:val="7"/>
        </w:rPr>
        <w:t>一是中国人民银行会同金融监管总局、</w:t>
      </w:r>
      <w:r>
        <w:rPr>
          <w:color w:val="231F20"/>
          <w:spacing w:val="3"/>
        </w:rPr>
        <w:t xml:space="preserve">  </w:t>
      </w:r>
      <w:r>
        <w:rPr>
          <w:color w:val="231F20"/>
          <w:spacing w:val="9"/>
        </w:rPr>
        <w:t>中国证监会、国家外汇局制定了包含资管债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权在内的《金融“五篇大文章”总体统计制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" w:hanging="2"/>
        <w:spacing w:before="41" w:line="249" w:lineRule="auto"/>
        <w:rPr/>
      </w:pPr>
      <w:r>
        <w:rPr>
          <w:color w:val="231F20"/>
          <w:spacing w:val="9"/>
        </w:rPr>
        <w:t>度（试行）》，为评估资管行业资金服务实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体经济重点领域的情况提供信息支撑。</w:t>
      </w:r>
    </w:p>
    <w:p>
      <w:pPr>
        <w:pStyle w:val="BodyText"/>
        <w:ind w:left="2" w:firstLine="426"/>
        <w:spacing w:before="3" w:line="249" w:lineRule="auto"/>
        <w:jc w:val="both"/>
        <w:rPr/>
      </w:pPr>
      <w:r>
        <w:rPr>
          <w:color w:val="231F20"/>
          <w:spacing w:val="23"/>
        </w:rPr>
        <w:t>二是国务院办公厅转发金融监管总局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8"/>
        </w:rPr>
        <w:t>《关于加强监管防范风险推动信托业高质量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发展的若干意见》，推动构建信托业深化改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革、防控风险、积极转型的长效机制。</w:t>
      </w:r>
    </w:p>
    <w:p>
      <w:pPr>
        <w:pStyle w:val="BodyText"/>
        <w:ind w:firstLine="428"/>
        <w:spacing w:line="255" w:lineRule="auto"/>
        <w:rPr/>
      </w:pPr>
      <w:r>
        <w:rPr>
          <w:color w:val="231F20"/>
          <w:spacing w:val="23"/>
        </w:rPr>
        <w:t>三是中国证监会发布《公开募集证券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投资基金证券交易费用管理规定》，进一步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优化基金证券交易佣金制度，降低基金投资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者交易成本，引导证券基金经营机构专注提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升投资者长期收益，提供更加优质的交易、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研究和投资服务，促进形成良好的行业发展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生态。</w:t>
      </w:r>
    </w:p>
    <w:p>
      <w:pPr>
        <w:spacing w:line="255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5" w:space="100"/>
            <w:col w:w="4165" w:space="0"/>
          </w:cols>
        </w:sectPr>
        <w:rPr/>
      </w:pPr>
    </w:p>
    <w:p>
      <w:pPr>
        <w:pStyle w:val="BodyText"/>
        <w:spacing w:line="261" w:lineRule="auto"/>
        <w:rPr/>
      </w:pPr>
      <w:r/>
    </w:p>
    <w:p>
      <w:pPr>
        <w:pStyle w:val="BodyText"/>
        <w:ind w:left="299"/>
        <w:spacing w:before="136" w:line="173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719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-99436</wp:posOffset>
                </wp:positionV>
                <wp:extent cx="5580380" cy="4147820"/>
                <wp:effectExtent l="0" t="0" r="0" b="0"/>
                <wp:wrapNone/>
                <wp:docPr id="384" name="Rect 384"/>
                <wp:cNvGraphicFramePr/>
                <a:graphic>
                  <a:graphicData uri="http://schemas.microsoft.com/office/word/2010/wordprocessingShape">
                    <wps:wsp>
                      <wps:cNvPr id="384" name="Rect 384"/>
                      <wps:cNvSpPr/>
                      <wps:spPr>
                        <a:xfrm>
                          <a:off x="0" y="-99436"/>
                          <a:ext cx="5580380" cy="414782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0" style="position:absolute;margin-left:0pt;margin-top:-7.82962pt;mso-position-vertical-relative:text;mso-position-horizontal-relative:text;width:439.4pt;height:326.6pt;z-index:-251244544;" fillcolor="#D4E5F5" filled="true" stroked="false"/>
            </w:pict>
          </mc:Fallback>
        </mc:AlternateContent>
      </w:r>
      <w:bookmarkStart w:name="bookmark27" w:id="34"/>
      <w:bookmarkEnd w:id="34"/>
      <w:r>
        <w:rPr>
          <w:sz w:val="28"/>
          <w:szCs w:val="28"/>
          <w:color w:val="231F20"/>
        </w:rPr>
        <w:t>专栏十    开放式银行理财产品流动性压力测试结果分析</w:t>
      </w:r>
    </w:p>
    <w:p>
      <w:pPr>
        <w:spacing w:line="326" w:lineRule="exact"/>
        <w:rPr/>
      </w:pPr>
      <w:r/>
    </w:p>
    <w:p>
      <w:pPr>
        <w:spacing w:line="326" w:lineRule="exact"/>
        <w:sectPr>
          <w:type w:val="continuous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92" w:right="359" w:firstLine="436"/>
        <w:spacing w:before="55" w:line="249" w:lineRule="auto"/>
        <w:jc w:val="both"/>
        <w:rPr/>
      </w:pPr>
      <w:r>
        <w:rPr>
          <w:color w:val="231F20"/>
          <w:spacing w:val="19"/>
        </w:rPr>
        <w:t>资管新规正式实施以来，我国银行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理财业务整体发展健康平稳，资产规模稳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步增长，已基本实现净值化转型。为落实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中央金融工作会议对风险“早识别、早预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警、早暴露、早处置”的要求，不断提高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对银行理财产品流动性风险的监测评估水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平，中国人民银行选取了14家理财公司的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开放式理财产品及临近开放日的定期开放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式理财产品开展了流动性压力测试。从压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力测试结果看，参加测试的3690支银行理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3"/>
        </w:rPr>
        <w:t>财产品流动性风险总体可控。</w:t>
      </w:r>
    </w:p>
    <w:p>
      <w:pPr>
        <w:pStyle w:val="BodyText"/>
        <w:ind w:left="289" w:right="359" w:firstLine="434"/>
        <w:spacing w:before="2" w:line="192" w:lineRule="auto"/>
        <w:rPr/>
      </w:pPr>
      <w:r>
        <w:rPr>
          <w:color w:val="231F20"/>
          <w:spacing w:val="-6"/>
        </w:rPr>
        <w:t>测试对象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>。截至2024年9月末，我国银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行理财产品资产规模达30.67万亿元。理财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4"/>
        <w:spacing w:before="53" w:line="249" w:lineRule="auto"/>
        <w:rPr/>
      </w:pPr>
      <w:r>
        <w:rPr>
          <w:color w:val="231F20"/>
          <w:spacing w:val="-3"/>
        </w:rPr>
        <w:t>公司共32家，包括6家大型商业银行理财子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2"/>
        </w:rPr>
        <w:t>公司、12家股份制商业银行理财子公司、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8家城市商业银行理财子公司、1家农村商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0"/>
        </w:rPr>
        <w:t>业银行理财子公司，5家中外合资理财公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司。本次压力测试选取了14家理财公司作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</w:rPr>
        <w:t>为测试对象，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包括3家大型商业银行理财子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公司、6家股份制商业银行理财子公司、4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</w:rPr>
        <w:t>家城市商业银行理财子公司、1家中外合资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2"/>
        </w:rPr>
        <w:t>理财公司。参与测试的产品为截至2024年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9月末存续的开放式理财产品及2024年1</w:t>
      </w:r>
      <w:r>
        <w:rPr>
          <w:color w:val="231F20"/>
          <w:spacing w:val="-5"/>
        </w:rPr>
        <w:t>0月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末之前开放的定期开放式理财产品共3690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支，规模合计11.79万亿元。</w:t>
      </w:r>
    </w:p>
    <w:p>
      <w:pPr>
        <w:pStyle w:val="BodyText"/>
        <w:ind w:left="427"/>
        <w:spacing w:line="229" w:lineRule="exact"/>
        <w:rPr/>
      </w:pPr>
      <w:r>
        <w:rPr>
          <w:color w:val="231F20"/>
          <w:spacing w:val="14"/>
          <w:position w:val="-1"/>
        </w:rPr>
        <w:t>压力情景设置 。</w:t>
      </w:r>
      <w:r>
        <w:rPr>
          <w:color w:val="231F20"/>
          <w:spacing w:val="-20"/>
          <w:position w:val="-1"/>
        </w:rPr>
        <w:t xml:space="preserve"> </w:t>
      </w:r>
      <w:r>
        <w:rPr>
          <w:color w:val="231F20"/>
          <w:spacing w:val="14"/>
          <w:position w:val="-1"/>
        </w:rPr>
        <w:t>本次压力测试按照</w:t>
      </w:r>
    </w:p>
    <w:p>
      <w:pPr>
        <w:spacing w:line="229" w:lineRule="exact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7" w:space="100"/>
            <w:col w:w="4162" w:space="0"/>
          </w:cols>
        </w:sectPr>
        <w:rPr/>
      </w:pPr>
    </w:p>
    <w:p>
      <w:pPr>
        <w:spacing w:before="319"/>
        <w:rPr/>
      </w:pPr>
      <w:r/>
    </w:p>
    <w:p>
      <w:pPr>
        <w:sectPr>
          <w:headerReference w:type="default" r:id="rId192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91" w:right="355" w:hanging="3"/>
        <w:spacing w:before="45" w:line="250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0821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-114933</wp:posOffset>
                </wp:positionV>
                <wp:extent cx="5580380" cy="7889240"/>
                <wp:effectExtent l="0" t="0" r="0" b="0"/>
                <wp:wrapNone/>
                <wp:docPr id="386" name="Rect 386"/>
                <wp:cNvGraphicFramePr/>
                <a:graphic>
                  <a:graphicData uri="http://schemas.microsoft.com/office/word/2010/wordprocessingShape">
                    <wps:wsp>
                      <wps:cNvPr id="386" name="Rect 386"/>
                      <wps:cNvSpPr/>
                      <wps:spPr>
                        <a:xfrm>
                          <a:off x="0" y="-114933"/>
                          <a:ext cx="5580380" cy="78892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2" style="position:absolute;margin-left:0pt;margin-top:-9.04987pt;mso-position-vertical-relative:text;mso-position-horizontal-relative:text;width:439.4pt;height:621.2pt;z-index:-251234304;" fillcolor="#D4E5F5" filled="true" stroked="false"/>
            </w:pict>
          </mc:Fallback>
        </mc:AlternateContent>
      </w:r>
      <w:bookmarkStart w:name="bookmark49" w:id="35"/>
      <w:bookmarkEnd w:id="35"/>
      <w:r>
        <w:rPr>
          <w:color w:val="231F20"/>
          <w:spacing w:val="18"/>
        </w:rPr>
        <w:t>运作方式、运作周期（封闭期）和开放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周期（开放日）三种维度对理财产品进行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分类，统计不同类型理财产品历史上面临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的较大赎回冲击，主要采用各支净值型理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财产品开放时间段的净申购赎回率历史数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据。按照不同分类维度，选取90%、95%、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4"/>
        </w:rPr>
        <w:t>99%置信水平下，理财产品赎回率的在险</w:t>
      </w:r>
      <w:r>
        <w:rPr>
          <w:color w:val="231F20"/>
          <w:spacing w:val="11"/>
          <w:w w:val="101"/>
        </w:rPr>
        <w:t xml:space="preserve"> </w:t>
      </w:r>
      <w:r>
        <w:rPr>
          <w:color w:val="231F20"/>
          <w:spacing w:val="8"/>
        </w:rPr>
        <w:t>价值（</w:t>
      </w:r>
      <w:r>
        <w:rPr>
          <w:color w:val="231F20"/>
        </w:rPr>
        <w:t>VaR</w:t>
      </w:r>
      <w:r>
        <w:rPr>
          <w:color w:val="231F20"/>
          <w:spacing w:val="8"/>
        </w:rPr>
        <w:t>）作为各类理财产品的赎回冲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17"/>
        </w:rPr>
        <w:t>击，即轻度、中度和重度三种压力测试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8"/>
        </w:rPr>
        <w:t>情景。</w:t>
      </w:r>
    </w:p>
    <w:p>
      <w:pPr>
        <w:pStyle w:val="BodyText"/>
        <w:ind w:left="291" w:right="355" w:firstLine="431"/>
        <w:spacing w:before="14" w:line="248" w:lineRule="auto"/>
        <w:jc w:val="both"/>
        <w:rPr/>
      </w:pPr>
      <w:r>
        <w:rPr>
          <w:color w:val="231F20"/>
          <w:spacing w:val="3"/>
        </w:rPr>
        <w:t>测试指标选取及测试方法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>。根据流动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性的差异，对各理财产品底层资产赋予相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应权重，进而计算理财产品流动性加权资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产规模及其占总资产的比例。流动性加权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资产占总资产比例是否可以覆盖净申购赎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回比率是产品是否具备承压能力的测试指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标。如果前者大于或等于后者，则理财产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品通过了压力测试，反之则没有通过压力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8"/>
        </w:rPr>
        <w:t>测试。</w:t>
      </w:r>
    </w:p>
    <w:p>
      <w:pPr>
        <w:pStyle w:val="BodyText"/>
        <w:ind w:left="287" w:right="354" w:firstLine="434"/>
        <w:spacing w:before="2" w:line="238" w:lineRule="auto"/>
        <w:jc w:val="both"/>
        <w:rPr/>
      </w:pPr>
      <w:r>
        <w:rPr>
          <w:color w:val="231F20"/>
          <w:spacing w:val="3"/>
        </w:rPr>
        <w:t>结果分析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>。测试结果显示，参加测试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的3690支银行理财产品流动性风险总体可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控，未通过测试的银行理财产品数量和资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7"/>
        </w:rPr>
        <w:t>产规模分别为171支、830.53亿元，占全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部参试产品数量和资产规模的比例分别为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4.6%和0.7%。具体来看，中短期（180天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5"/>
        </w:rPr>
        <w:t>以下）开放式产品占比高且总体流动性良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8"/>
        </w:rPr>
        <w:t>好。开放周期、运作周期在180天以下的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产品规模分别占全部参试产品资产规模的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97.47%、95.31%，其中未通过测试的产品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3"/>
        <w:spacing w:before="44" w:line="249" w:lineRule="auto"/>
        <w:jc w:val="both"/>
        <w:rPr/>
      </w:pPr>
      <w:r>
        <w:rPr>
          <w:color w:val="231F20"/>
          <w:spacing w:val="2"/>
        </w:rPr>
        <w:t>数量分别为74支和72支，资产规模占全部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-4"/>
        </w:rPr>
        <w:t>参试产品的比例均为0.31%。开放周期、运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作周期在180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5"/>
          <w:position w:val="1"/>
        </w:rPr>
        <w:t>~</w:t>
      </w:r>
      <w:r>
        <w:rPr>
          <w:color w:val="231F20"/>
          <w:spacing w:val="5"/>
        </w:rPr>
        <w:t>365天的产品规模分别占全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部参试产品资产规模的1.91%和2.53%，其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4"/>
        </w:rPr>
        <w:t>中未通过测试产品均为53支，资产规模占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全部参试产品资产的比例为0.06%。开放周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期、运作周期在365天以上的未通过测试产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品分别为44支和46支，资产规模占全部参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-4"/>
        </w:rPr>
        <w:t>试产品资产的比例均为0.33%。长期限产品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规模占比低，封闭运作期较长，理财公司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在产品封闭运作期内倾向于配置流动性较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低、收益较高的资产，但可根据开放计划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和预约申赎情况等提前调整资产结构和流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动性水平，赎回压力和影响均较小。</w:t>
      </w:r>
    </w:p>
    <w:p>
      <w:pPr>
        <w:pStyle w:val="BodyText"/>
        <w:ind w:left="1" w:right="279" w:firstLine="426"/>
        <w:spacing w:before="4" w:line="249" w:lineRule="auto"/>
        <w:jc w:val="both"/>
        <w:rPr/>
      </w:pPr>
      <w:r>
        <w:rPr>
          <w:color w:val="231F20"/>
          <w:spacing w:val="3"/>
        </w:rPr>
        <w:t>基于压力测试结果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3"/>
        </w:rPr>
        <w:t>，开展风险预警工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作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2"/>
        </w:rPr>
        <w:t>。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2"/>
        </w:rPr>
        <w:t>中国人民银行对于压力测试中发现的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异常指标和苗头性风险，及时进行风险提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示和预警，引导理财公司加大对流动性风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险的重视程度，平衡好银行理财发展转型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和风险管控之间的关系。</w:t>
      </w:r>
    </w:p>
    <w:p>
      <w:pPr>
        <w:pStyle w:val="BodyText"/>
        <w:ind w:left="1" w:right="283" w:firstLine="439"/>
        <w:spacing w:before="11" w:line="253" w:lineRule="auto"/>
        <w:jc w:val="both"/>
        <w:rPr/>
      </w:pPr>
      <w:r>
        <w:rPr>
          <w:color w:val="231F20"/>
          <w:spacing w:val="5"/>
        </w:rPr>
        <w:t>下一步，中国人民银行将继续加强对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银行理财产品流动性风险的日常监测，重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点关注债券收益率大幅变动、股票市场剧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烈波动、信用债违约等外部冲击带来的影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响，加大对银行理财产品风险跨行业、跨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市场传染路径的研究力度，及时与有关部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门进行交流共享，共同守住不发生系统性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风险的底线。</w:t>
      </w:r>
    </w:p>
    <w:p>
      <w:pPr>
        <w:spacing w:line="253" w:lineRule="auto"/>
        <w:sectPr>
          <w:type w:val="continuous"/>
          <w:pgSz w:w="11906" w:h="16158"/>
          <w:pgMar w:top="1384" w:right="1417" w:bottom="400" w:left="1700" w:header="1061" w:footer="0" w:gutter="0"/>
          <w:cols w:equalWidth="0" w:num="2">
            <w:col w:w="4523" w:space="100"/>
            <w:col w:w="4166" w:space="0"/>
          </w:cols>
        </w:sectPr>
        <w:rPr/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pStyle w:val="BodyText"/>
        <w:ind w:left="8158"/>
        <w:spacing w:before="336" w:line="344" w:lineRule="exact"/>
        <w:rPr>
          <w:rFonts w:ascii="DejaVu Sans" w:hAnsi="DejaVu Sans" w:eastAsia="DejaVu Sans" w:cs="DejaVu Sans"/>
          <w:sz w:val="29"/>
          <w:szCs w:val="29"/>
        </w:rPr>
      </w:pPr>
      <w:r>
        <w:drawing>
          <wp:anchor distT="0" distB="0" distL="0" distR="0" simplePos="0" relativeHeight="252101632" behindDoc="0" locked="0" layoutInCell="0" allowOverlap="1">
            <wp:simplePos x="0" y="0"/>
            <wp:positionH relativeFrom="page">
              <wp:posOffset>4791060</wp:posOffset>
            </wp:positionH>
            <wp:positionV relativeFrom="page">
              <wp:posOffset>449999</wp:posOffset>
            </wp:positionV>
            <wp:extent cx="337500" cy="292349"/>
            <wp:effectExtent l="0" t="0" r="0" b="0"/>
            <wp:wrapNone/>
            <wp:docPr id="388" name="IM 388"/>
            <wp:cNvGraphicFramePr/>
            <a:graphic>
              <a:graphicData uri="http://schemas.openxmlformats.org/drawingml/2006/picture">
                <pic:pic>
                  <pic:nvPicPr>
                    <pic:cNvPr id="388" name="IM 3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00" cy="2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  <w:szCs w:val="29"/>
          <w:color w:val="174B8B"/>
          <w:spacing w:val="-6"/>
          <w:position w:val="3"/>
        </w:rPr>
        <w:t>中国金融稳定报告</w:t>
      </w:r>
      <w:r>
        <w:rPr>
          <w:sz w:val="29"/>
          <w:szCs w:val="29"/>
          <w:color w:val="174B8B"/>
          <w:spacing w:val="-6"/>
          <w:position w:val="3"/>
        </w:rPr>
        <w:t xml:space="preserve"> </w:t>
      </w:r>
      <w:r>
        <w:rPr>
          <w:rFonts w:ascii="DejaVu Sans" w:hAnsi="DejaVu Sans" w:eastAsia="DejaVu Sans" w:cs="DejaVu Sans"/>
          <w:sz w:val="29"/>
          <w:szCs w:val="29"/>
          <w:color w:val="174B8B"/>
          <w:spacing w:val="-6"/>
          <w:position w:val="-6"/>
        </w:rPr>
        <w:t>2025</w:t>
      </w:r>
    </w:p>
    <w:p>
      <w:pPr>
        <w:ind w:left="8164"/>
        <w:spacing w:line="221" w:lineRule="auto"/>
        <w:rPr>
          <w:rFonts w:ascii="DejaVu Sans" w:hAnsi="DejaVu Sans" w:eastAsia="DejaVu Sans" w:cs="DejaVu Sans"/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china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29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4"/>
        </w:rPr>
        <w:t>Financial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21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stability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Report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ind w:left="5242"/>
        <w:spacing w:before="346" w:line="176" w:lineRule="auto"/>
        <w:rPr>
          <w:sz w:val="72"/>
          <w:szCs w:val="72"/>
        </w:rPr>
      </w:pPr>
      <w:r>
        <w:rPr>
          <w:sz w:val="72"/>
          <w:szCs w:val="72"/>
          <w:color w:val="174B8B"/>
          <w:spacing w:val="-7"/>
        </w:rPr>
        <w:t>第四章</w:t>
      </w:r>
    </w:p>
    <w:p>
      <w:pPr>
        <w:pStyle w:val="BodyText"/>
        <w:ind w:left="4798"/>
        <w:spacing w:before="3" w:line="182" w:lineRule="auto"/>
        <w:rPr>
          <w:sz w:val="76"/>
          <w:szCs w:val="76"/>
        </w:rPr>
      </w:pPr>
      <w:r>
        <w:rPr>
          <w:sz w:val="76"/>
          <w:szCs w:val="76"/>
          <w:color w:val="174B8B"/>
          <w:spacing w:val="-5"/>
        </w:rPr>
        <w:t>金融市场</w:t>
      </w:r>
    </w:p>
    <w:p>
      <w:pPr>
        <w:spacing w:line="182" w:lineRule="auto"/>
        <w:sectPr>
          <w:headerReference w:type="default" r:id="rId193"/>
          <w:pgSz w:w="11906" w:h="16158"/>
          <w:pgMar w:top="400" w:right="0" w:bottom="400" w:left="0" w:header="0" w:footer="0" w:gutter="0"/>
        </w:sectPr>
        <w:rPr>
          <w:sz w:val="76"/>
          <w:szCs w:val="76"/>
        </w:rPr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spacing w:before="154"/>
        <w:rPr/>
      </w:pPr>
      <w:r/>
    </w:p>
    <w:p>
      <w:pPr>
        <w:sectPr>
          <w:headerReference w:type="default" r:id="rId194"/>
          <w:pgSz w:w="11906" w:h="16158"/>
          <w:pgMar w:top="1383" w:right="1415" w:bottom="400" w:left="1702" w:header="1060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3" w:right="356" w:firstLine="423"/>
        <w:spacing w:before="41" w:line="261" w:lineRule="auto"/>
        <w:jc w:val="both"/>
        <w:rPr/>
      </w:pPr>
      <w:bookmarkStart w:name="bookmark50" w:id="36"/>
      <w:bookmarkEnd w:id="36"/>
      <w:r>
        <w:rPr>
          <w:rFonts w:ascii="Times New Roman" w:hAnsi="Times New Roman" w:eastAsia="Times New Roman" w:cs="Times New Roman"/>
          <w:color w:val="231F20"/>
          <w:spacing w:val="6"/>
        </w:rPr>
        <w:t>2024</w:t>
      </w:r>
      <w:r>
        <w:rPr>
          <w:color w:val="231F20"/>
          <w:spacing w:val="6"/>
        </w:rPr>
        <w:t>年，金融市场运行总体保持平稳，  </w:t>
      </w:r>
      <w:r>
        <w:rPr>
          <w:color w:val="231F20"/>
          <w:spacing w:val="9"/>
        </w:rPr>
        <w:t>市场主体较为活跃，对外开放水平进一步提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高，金融市场高质量发展扎实推进。</w:t>
      </w:r>
    </w:p>
    <w:p>
      <w:pPr>
        <w:pStyle w:val="BodyText"/>
        <w:ind w:left="480"/>
        <w:spacing w:before="403" w:line="174" w:lineRule="auto"/>
        <w:outlineLvl w:val="0"/>
        <w:rPr>
          <w:sz w:val="28"/>
          <w:szCs w:val="28"/>
        </w:rPr>
      </w:pPr>
      <w:bookmarkStart w:name="bookmark10" w:id="37"/>
      <w:bookmarkEnd w:id="37"/>
      <w:r>
        <w:rPr>
          <w:sz w:val="28"/>
          <w:szCs w:val="28"/>
          <w:color w:val="174B8B"/>
          <w:spacing w:val="-4"/>
        </w:rPr>
        <w:t>一、市场运行情况</w:t>
      </w:r>
    </w:p>
    <w:p>
      <w:pPr>
        <w:pStyle w:val="BodyText"/>
        <w:ind w:left="416"/>
        <w:spacing w:before="428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（一）货币市场</w:t>
      </w:r>
    </w:p>
    <w:p>
      <w:pPr>
        <w:pStyle w:val="BodyText"/>
        <w:ind w:right="356" w:firstLine="429"/>
        <w:spacing w:before="253" w:line="249" w:lineRule="auto"/>
        <w:jc w:val="both"/>
        <w:rPr/>
      </w:pPr>
      <w:r>
        <w:rPr>
          <w:color w:val="231F20"/>
          <w:spacing w:val="1"/>
        </w:rPr>
        <w:t>货币市场交易规模小幅减少。  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年货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币市场交易量小幅下降，银行间市场同业拆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0"/>
        </w:rPr>
        <w:t>借、回购交易成交总量</w:t>
      </w:r>
      <w:r>
        <w:rPr>
          <w:rFonts w:ascii="Times New Roman" w:hAnsi="Times New Roman" w:eastAsia="Times New Roman" w:cs="Times New Roman"/>
          <w:color w:val="231F20"/>
          <w:spacing w:val="10"/>
        </w:rPr>
        <w:t>1783.8</w:t>
      </w:r>
      <w:r>
        <w:rPr>
          <w:color w:val="231F20"/>
          <w:spacing w:val="10"/>
        </w:rPr>
        <w:t>万亿元，同比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2"/>
        </w:rPr>
        <w:t>减少</w:t>
      </w:r>
      <w:r>
        <w:rPr>
          <w:rFonts w:ascii="Times New Roman" w:hAnsi="Times New Roman" w:eastAsia="Times New Roman" w:cs="Times New Roman"/>
          <w:color w:val="231F20"/>
          <w:spacing w:val="12"/>
        </w:rPr>
        <w:t>2%</w:t>
      </w:r>
      <w:r>
        <w:rPr>
          <w:color w:val="231F20"/>
          <w:spacing w:val="12"/>
        </w:rPr>
        <w:t>。其中，同业拆借累计成交</w:t>
      </w:r>
      <w:r>
        <w:rPr>
          <w:rFonts w:ascii="Times New Roman" w:hAnsi="Times New Roman" w:eastAsia="Times New Roman" w:cs="Times New Roman"/>
          <w:color w:val="231F20"/>
          <w:spacing w:val="12"/>
        </w:rPr>
        <w:t>103</w:t>
      </w:r>
      <w:r>
        <w:rPr>
          <w:rFonts w:ascii="Times New Roman" w:hAnsi="Times New Roman" w:eastAsia="Times New Roman" w:cs="Times New Roman"/>
          <w:color w:val="231F20"/>
          <w:spacing w:val="11"/>
        </w:rPr>
        <w:t>.1</w:t>
      </w:r>
      <w:r>
        <w:rPr>
          <w:color w:val="231F20"/>
          <w:spacing w:val="11"/>
        </w:rPr>
        <w:t>万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>亿元，同比减少</w:t>
      </w:r>
      <w:r>
        <w:rPr>
          <w:rFonts w:ascii="Times New Roman" w:hAnsi="Times New Roman" w:eastAsia="Times New Roman" w:cs="Times New Roman"/>
          <w:color w:val="231F20"/>
          <w:spacing w:val="10"/>
        </w:rPr>
        <w:t>28%</w:t>
      </w:r>
      <w:r>
        <w:rPr>
          <w:color w:val="231F20"/>
          <w:spacing w:val="10"/>
        </w:rPr>
        <w:t>；质押式回购累计成交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1672.1</w:t>
      </w:r>
      <w:r>
        <w:rPr>
          <w:color w:val="231F20"/>
          <w:spacing w:val="8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8"/>
        </w:rPr>
        <w:t>0.2%</w:t>
      </w:r>
      <w:r>
        <w:rPr>
          <w:color w:val="231F20"/>
          <w:spacing w:val="8"/>
        </w:rPr>
        <w:t>；买断式回购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累计成交</w:t>
      </w:r>
      <w:r>
        <w:rPr>
          <w:rFonts w:ascii="Times New Roman" w:hAnsi="Times New Roman" w:eastAsia="Times New Roman" w:cs="Times New Roman"/>
          <w:color w:val="231F20"/>
          <w:spacing w:val="1"/>
        </w:rPr>
        <w:t>8.5</w:t>
      </w:r>
      <w:r>
        <w:rPr>
          <w:color w:val="231F20"/>
          <w:spacing w:val="1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1"/>
        </w:rPr>
        <w:t>57%</w:t>
      </w:r>
      <w:r>
        <w:rPr>
          <w:rFonts w:ascii="Times New Roman" w:hAnsi="Times New Roman" w:eastAsia="Times New Roman" w:cs="Times New Roman"/>
          <w:color w:val="231F20"/>
          <w:spacing w:val="-24"/>
        </w:rPr>
        <w:t xml:space="preserve"> </w:t>
      </w:r>
      <w:r>
        <w:rPr>
          <w:color w:val="231F20"/>
          <w:spacing w:val="1"/>
        </w:rPr>
        <w:t>。</w:t>
      </w:r>
      <w:r>
        <w:rPr>
          <w:rFonts w:ascii="Times New Roman" w:hAnsi="Times New Roman" w:eastAsia="Times New Roman" w:cs="Times New Roman"/>
          <w:color w:val="231F20"/>
          <w:spacing w:val="1"/>
        </w:rPr>
        <w:t>7</w:t>
      </w:r>
      <w:r>
        <w:rPr>
          <w:color w:val="231F20"/>
          <w:spacing w:val="1"/>
        </w:rPr>
        <w:t>天以内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同业拆借成交</w:t>
      </w:r>
      <w:r>
        <w:rPr>
          <w:rFonts w:ascii="Times New Roman" w:hAnsi="Times New Roman" w:eastAsia="Times New Roman" w:cs="Times New Roman"/>
          <w:color w:val="231F20"/>
          <w:spacing w:val="5"/>
        </w:rPr>
        <w:t>100.7</w:t>
      </w:r>
      <w:r>
        <w:rPr>
          <w:color w:val="231F20"/>
          <w:spacing w:val="5"/>
        </w:rPr>
        <w:t>万亿元，占同业拆借成交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总量的</w:t>
      </w:r>
      <w:r>
        <w:rPr>
          <w:rFonts w:ascii="Times New Roman" w:hAnsi="Times New Roman" w:eastAsia="Times New Roman" w:cs="Times New Roman"/>
          <w:color w:val="231F20"/>
          <w:spacing w:val="3"/>
        </w:rPr>
        <w:t>97.7%</w:t>
      </w:r>
      <w:r>
        <w:rPr>
          <w:color w:val="231F20"/>
          <w:spacing w:val="3"/>
        </w:rPr>
        <w:t>，较上年下降</w:t>
      </w:r>
      <w:r>
        <w:rPr>
          <w:rFonts w:ascii="Times New Roman" w:hAnsi="Times New Roman" w:eastAsia="Times New Roman" w:cs="Times New Roman"/>
          <w:color w:val="231F20"/>
          <w:spacing w:val="3"/>
        </w:rPr>
        <w:t>0.7</w:t>
      </w:r>
      <w:r>
        <w:rPr>
          <w:color w:val="231F20"/>
          <w:spacing w:val="3"/>
        </w:rPr>
        <w:t>个百分</w:t>
      </w:r>
      <w:r>
        <w:rPr>
          <w:color w:val="231F20"/>
          <w:spacing w:val="2"/>
        </w:rPr>
        <w:t>点；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2"/>
        </w:rPr>
        <w:t>7</w:t>
      </w:r>
      <w:r>
        <w:rPr>
          <w:color w:val="231F20"/>
          <w:spacing w:val="2"/>
        </w:rPr>
        <w:t>天</w:t>
      </w:r>
      <w:r>
        <w:rPr>
          <w:color w:val="231F20"/>
        </w:rPr>
        <w:t xml:space="preserve"> </w:t>
      </w:r>
      <w:r>
        <w:rPr>
          <w:color w:val="231F20"/>
        </w:rPr>
        <w:t>以内质押式回购成交</w:t>
      </w:r>
      <w:r>
        <w:rPr>
          <w:rFonts w:ascii="Times New Roman" w:hAnsi="Times New Roman" w:eastAsia="Times New Roman" w:cs="Times New Roman"/>
          <w:color w:val="231F20"/>
        </w:rPr>
        <w:t>1626.3</w:t>
      </w:r>
      <w:r>
        <w:rPr>
          <w:color w:val="231F20"/>
        </w:rPr>
        <w:t>万亿元，占质押式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9"/>
        </w:rPr>
        <w:t>回购成交总量的</w:t>
      </w:r>
      <w:r>
        <w:rPr>
          <w:rFonts w:ascii="Times New Roman" w:hAnsi="Times New Roman" w:eastAsia="Times New Roman" w:cs="Times New Roman"/>
          <w:color w:val="231F20"/>
          <w:spacing w:val="9"/>
        </w:rPr>
        <w:t>97.3%</w:t>
      </w:r>
      <w:r>
        <w:rPr>
          <w:color w:val="231F20"/>
          <w:spacing w:val="9"/>
        </w:rPr>
        <w:t>，较上年下降</w:t>
      </w:r>
      <w:r>
        <w:rPr>
          <w:rFonts w:ascii="Times New Roman" w:hAnsi="Times New Roman" w:eastAsia="Times New Roman" w:cs="Times New Roman"/>
          <w:color w:val="231F20"/>
          <w:spacing w:val="9"/>
        </w:rPr>
        <w:t>0.1</w:t>
      </w:r>
      <w:r>
        <w:rPr>
          <w:color w:val="231F20"/>
          <w:spacing w:val="9"/>
        </w:rPr>
        <w:t>个百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8"/>
        </w:rPr>
        <w:t>分点。</w:t>
      </w:r>
    </w:p>
    <w:p>
      <w:pPr>
        <w:pStyle w:val="BodyText"/>
        <w:ind w:right="355" w:firstLine="429"/>
        <w:spacing w:before="1" w:line="241" w:lineRule="auto"/>
        <w:rPr/>
      </w:pPr>
      <w:r>
        <w:rPr>
          <w:color w:val="231F20"/>
          <w:spacing w:val="38"/>
        </w:rPr>
        <w:t>货币市场利率下行，资金分层现象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9"/>
        </w:rPr>
        <w:t>减弱。</w:t>
      </w:r>
      <w:r>
        <w:rPr>
          <w:color w:val="231F20"/>
          <w:spacing w:val="5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9"/>
        </w:rPr>
        <w:t>7</w:t>
      </w:r>
      <w:r>
        <w:rPr>
          <w:rFonts w:ascii="Times New Roman" w:hAnsi="Times New Roman" w:eastAsia="Times New Roman" w:cs="Times New Roman"/>
          <w:color w:val="231F20"/>
          <w:spacing w:val="-12"/>
        </w:rPr>
        <w:t xml:space="preserve"> </w:t>
      </w:r>
      <w:r>
        <w:rPr>
          <w:color w:val="231F20"/>
          <w:spacing w:val="19"/>
        </w:rPr>
        <w:t>天存款类机构间质押式回购利率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（</w:t>
      </w:r>
      <w:r>
        <w:rPr>
          <w:rFonts w:ascii="Times New Roman" w:hAnsi="Times New Roman" w:eastAsia="Times New Roman" w:cs="Times New Roman"/>
          <w:color w:val="231F20"/>
        </w:rPr>
        <w:t>DR</w:t>
      </w:r>
      <w:r>
        <w:rPr>
          <w:rFonts w:ascii="Times New Roman" w:hAnsi="Times New Roman" w:eastAsia="Times New Roman" w:cs="Times New Roman"/>
          <w:color w:val="231F20"/>
          <w:spacing w:val="5"/>
        </w:rPr>
        <w:t>007</w:t>
      </w:r>
      <w:r>
        <w:rPr>
          <w:color w:val="231F20"/>
          <w:spacing w:val="5"/>
        </w:rPr>
        <w:t>） 中枢随</w:t>
      </w: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</w:t>
      </w:r>
      <w:r>
        <w:rPr>
          <w:rFonts w:ascii="Times New Roman" w:hAnsi="Times New Roman" w:eastAsia="Times New Roman" w:cs="Times New Roman"/>
          <w:color w:val="231F20"/>
          <w:spacing w:val="5"/>
        </w:rPr>
        <w:t>7</w:t>
      </w:r>
      <w:r>
        <w:rPr>
          <w:color w:val="231F20"/>
          <w:spacing w:val="5"/>
        </w:rPr>
        <w:t>月、</w:t>
      </w:r>
      <w:r>
        <w:rPr>
          <w:color w:val="231F20"/>
          <w:spacing w:val="-1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5"/>
        </w:rPr>
        <w:t>9</w:t>
      </w:r>
      <w:r>
        <w:rPr>
          <w:color w:val="231F20"/>
          <w:spacing w:val="5"/>
        </w:rPr>
        <w:t>月两次降息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下移，整体在政策利率上方震荡运行，主要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0"/>
        </w:rPr>
        <w:t>在</w:t>
      </w:r>
      <w:r>
        <w:rPr>
          <w:rFonts w:ascii="Times New Roman" w:hAnsi="Times New Roman" w:eastAsia="Times New Roman" w:cs="Times New Roman"/>
          <w:color w:val="231F20"/>
          <w:spacing w:val="10"/>
        </w:rPr>
        <w:t>1.5%~2.0%</w:t>
      </w:r>
      <w:r>
        <w:rPr>
          <w:color w:val="231F20"/>
          <w:spacing w:val="10"/>
        </w:rPr>
        <w:t>区间波动，流动性保持合理充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裕。全年</w:t>
      </w:r>
      <w:r>
        <w:rPr>
          <w:rFonts w:ascii="Times New Roman" w:hAnsi="Times New Roman" w:eastAsia="Times New Roman" w:cs="Times New Roman"/>
          <w:color w:val="231F20"/>
        </w:rPr>
        <w:t>DR</w:t>
      </w:r>
      <w:r>
        <w:rPr>
          <w:rFonts w:ascii="Times New Roman" w:hAnsi="Times New Roman" w:eastAsia="Times New Roman" w:cs="Times New Roman"/>
          <w:color w:val="231F20"/>
          <w:spacing w:val="3"/>
        </w:rPr>
        <w:t>007</w:t>
      </w:r>
      <w:r>
        <w:rPr>
          <w:color w:val="231F20"/>
          <w:spacing w:val="3"/>
        </w:rPr>
        <w:t>加权平均为</w:t>
      </w:r>
      <w:r>
        <w:rPr>
          <w:rFonts w:ascii="Times New Roman" w:hAnsi="Times New Roman" w:eastAsia="Times New Roman" w:cs="Times New Roman"/>
          <w:color w:val="231F20"/>
          <w:spacing w:val="3"/>
        </w:rPr>
        <w:t>1.82%</w:t>
      </w:r>
      <w:r>
        <w:rPr>
          <w:color w:val="231F20"/>
          <w:spacing w:val="3"/>
        </w:rPr>
        <w:t>，较上年下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行</w:t>
      </w:r>
      <w:r>
        <w:rPr>
          <w:rFonts w:ascii="Times New Roman" w:hAnsi="Times New Roman" w:eastAsia="Times New Roman" w:cs="Times New Roman"/>
          <w:color w:val="231F20"/>
          <w:spacing w:val="3"/>
        </w:rPr>
        <w:t>15</w:t>
      </w:r>
      <w:r>
        <w:rPr>
          <w:color w:val="231F20"/>
          <w:spacing w:val="3"/>
        </w:rPr>
        <w:t>个基点（见图</w:t>
      </w:r>
      <w:r>
        <w:rPr>
          <w:rFonts w:ascii="Times New Roman" w:hAnsi="Times New Roman" w:eastAsia="Times New Roman" w:cs="Times New Roman"/>
          <w:color w:val="231F20"/>
          <w:spacing w:val="3"/>
        </w:rPr>
        <w:t>4</w:t>
      </w:r>
      <w:r>
        <w:rPr>
          <w:color w:val="231F20"/>
          <w:spacing w:val="3"/>
        </w:rPr>
        <w:t>-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）。规范“手工补息”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9"/>
        </w:rPr>
        <w:t>后，非银资金较为充裕，资金分层现象明显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9"/>
        </w:rPr>
        <w:t>减弱，全年全市场和存款类机构的隔夜利差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（</w:t>
      </w:r>
      <w:r>
        <w:rPr>
          <w:rFonts w:ascii="Times New Roman" w:hAnsi="Times New Roman" w:eastAsia="Times New Roman" w:cs="Times New Roman"/>
          <w:color w:val="231F20"/>
          <w:spacing w:val="4"/>
        </w:rPr>
        <w:t>R001</w:t>
      </w:r>
      <w:r>
        <w:rPr>
          <w:color w:val="231F20"/>
          <w:spacing w:val="4"/>
        </w:rPr>
        <w:t>-</w:t>
      </w:r>
      <w:r>
        <w:rPr>
          <w:rFonts w:ascii="Times New Roman" w:hAnsi="Times New Roman" w:eastAsia="Times New Roman" w:cs="Times New Roman"/>
          <w:color w:val="231F20"/>
        </w:rPr>
        <w:t>DR</w:t>
      </w:r>
      <w:r>
        <w:rPr>
          <w:rFonts w:ascii="Times New Roman" w:hAnsi="Times New Roman" w:eastAsia="Times New Roman" w:cs="Times New Roman"/>
          <w:color w:val="231F20"/>
          <w:spacing w:val="4"/>
        </w:rPr>
        <w:t>001</w:t>
      </w:r>
      <w:r>
        <w:rPr>
          <w:color w:val="231F20"/>
          <w:spacing w:val="4"/>
        </w:rPr>
        <w:t>）、</w:t>
      </w:r>
      <w:r>
        <w:rPr>
          <w:rFonts w:ascii="Times New Roman" w:hAnsi="Times New Roman" w:eastAsia="Times New Roman" w:cs="Times New Roman"/>
          <w:color w:val="231F20"/>
          <w:spacing w:val="4"/>
        </w:rPr>
        <w:t>7</w:t>
      </w:r>
      <w:r>
        <w:rPr>
          <w:color w:val="231F20"/>
          <w:spacing w:val="4"/>
        </w:rPr>
        <w:t>天利差（</w:t>
      </w:r>
      <w:r>
        <w:rPr>
          <w:rFonts w:ascii="Times New Roman" w:hAnsi="Times New Roman" w:eastAsia="Times New Roman" w:cs="Times New Roman"/>
          <w:color w:val="231F20"/>
          <w:spacing w:val="4"/>
        </w:rPr>
        <w:t>R007</w:t>
      </w:r>
      <w:r>
        <w:rPr>
          <w:color w:val="231F20"/>
          <w:spacing w:val="4"/>
        </w:rPr>
        <w:t>-</w:t>
      </w:r>
      <w:r>
        <w:rPr>
          <w:rFonts w:ascii="Times New Roman" w:hAnsi="Times New Roman" w:eastAsia="Times New Roman" w:cs="Times New Roman"/>
          <w:color w:val="231F20"/>
        </w:rPr>
        <w:t>DR</w:t>
      </w:r>
      <w:r>
        <w:rPr>
          <w:rFonts w:ascii="Times New Roman" w:hAnsi="Times New Roman" w:eastAsia="Times New Roman" w:cs="Times New Roman"/>
          <w:color w:val="231F20"/>
          <w:spacing w:val="4"/>
        </w:rPr>
        <w:t>007</w:t>
      </w:r>
      <w:r>
        <w:rPr>
          <w:color w:val="231F20"/>
          <w:spacing w:val="4"/>
        </w:rPr>
        <w:t>）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分别同比收窄</w:t>
      </w:r>
      <w:r>
        <w:rPr>
          <w:rFonts w:ascii="Times New Roman" w:hAnsi="Times New Roman" w:eastAsia="Times New Roman" w:cs="Times New Roman"/>
          <w:color w:val="231F20"/>
          <w:spacing w:val="-4"/>
        </w:rPr>
        <w:t>4</w:t>
      </w:r>
      <w:r>
        <w:rPr>
          <w:color w:val="231F20"/>
          <w:spacing w:val="-4"/>
        </w:rPr>
        <w:t>个、</w:t>
      </w:r>
      <w:r>
        <w:rPr>
          <w:color w:val="231F20"/>
          <w:spacing w:val="-1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4"/>
        </w:rPr>
        <w:t>13</w:t>
      </w:r>
      <w:r>
        <w:rPr>
          <w:color w:val="231F20"/>
          <w:spacing w:val="-4"/>
        </w:rPr>
        <w:t>个基点。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832" w:right="431"/>
        <w:spacing w:before="39" w:line="151" w:lineRule="exact"/>
        <w:rPr>
          <w:sz w:val="15"/>
          <w:szCs w:val="15"/>
        </w:rPr>
      </w:pPr>
      <w:r>
        <w:rPr>
          <w:rFonts w:ascii="DejaVu Sans" w:hAnsi="DejaVu Sans" w:eastAsia="DejaVu Sans" w:cs="DejaVu Sans"/>
          <w:sz w:val="15"/>
          <w:szCs w:val="15"/>
          <w:color w:val="6F2C34"/>
          <w:spacing w:val="12"/>
          <w:position w:val="-1"/>
        </w:rPr>
        <w:t>—</w:t>
      </w:r>
      <w:r>
        <w:rPr>
          <w:rFonts w:ascii="DejaVu Sans" w:hAnsi="DejaVu Sans" w:eastAsia="DejaVu Sans" w:cs="DejaVu Sans"/>
          <w:sz w:val="15"/>
          <w:szCs w:val="15"/>
          <w:color w:val="6F2C34"/>
          <w:spacing w:val="2"/>
          <w:position w:val="-1"/>
        </w:rPr>
        <w:t xml:space="preserve"> </w:t>
      </w:r>
      <w:r>
        <w:rPr>
          <w:sz w:val="15"/>
          <w:szCs w:val="15"/>
          <w:color w:val="231F20"/>
          <w:spacing w:val="12"/>
          <w:position w:val="-1"/>
        </w:rPr>
        <w:t>存款类机构间质押式回购7天加权利率</w:t>
      </w:r>
      <w:r>
        <w:rPr>
          <w:sz w:val="15"/>
          <w:szCs w:val="15"/>
          <w:color w:val="231F20"/>
          <w:position w:val="-1"/>
        </w:rPr>
        <w:t xml:space="preserve"> </w:t>
      </w:r>
      <w:r>
        <w:rPr>
          <w:rFonts w:ascii="DejaVu Sans" w:hAnsi="DejaVu Sans" w:eastAsia="DejaVu Sans" w:cs="DejaVu Sans"/>
          <w:sz w:val="15"/>
          <w:szCs w:val="15"/>
          <w:color w:val="354B67"/>
          <w:spacing w:val="14"/>
          <w:position w:val="-1"/>
        </w:rPr>
        <w:t>—</w:t>
      </w:r>
      <w:r>
        <w:rPr>
          <w:rFonts w:ascii="DejaVu Sans" w:hAnsi="DejaVu Sans" w:eastAsia="DejaVu Sans" w:cs="DejaVu Sans"/>
          <w:sz w:val="15"/>
          <w:szCs w:val="15"/>
          <w:color w:val="354B67"/>
          <w:spacing w:val="-12"/>
          <w:position w:val="-1"/>
        </w:rPr>
        <w:t xml:space="preserve"> </w:t>
      </w:r>
      <w:r>
        <w:rPr>
          <w:sz w:val="15"/>
          <w:szCs w:val="15"/>
          <w:color w:val="231F20"/>
          <w:spacing w:val="14"/>
          <w:position w:val="-1"/>
        </w:rPr>
        <w:t>买断式回购7天加权利率</w:t>
      </w:r>
    </w:p>
    <w:p>
      <w:pPr>
        <w:ind w:firstLine="82"/>
        <w:spacing w:before="9" w:line="2307" w:lineRule="exact"/>
        <w:rPr/>
      </w:pPr>
      <w:r>
        <w:rPr>
          <w:position w:val="-46"/>
        </w:rPr>
        <w:drawing>
          <wp:inline distT="0" distB="0" distL="0" distR="0">
            <wp:extent cx="2537028" cy="1465259"/>
            <wp:effectExtent l="0" t="0" r="0" b="0"/>
            <wp:docPr id="390" name="IM 390"/>
            <wp:cNvGraphicFramePr/>
            <a:graphic>
              <a:graphicData uri="http://schemas.openxmlformats.org/drawingml/2006/picture">
                <pic:pic>
                  <pic:nvPicPr>
                    <pic:cNvPr id="390" name="IM 390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37028" cy="146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66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图4-1    2024年货币市场利率走</w:t>
      </w:r>
      <w:r>
        <w:rPr>
          <w:sz w:val="18"/>
          <w:szCs w:val="18"/>
          <w:color w:val="231F20"/>
          <w:spacing w:val="1"/>
        </w:rPr>
        <w:t>势图</w:t>
      </w:r>
    </w:p>
    <w:p>
      <w:pPr>
        <w:pStyle w:val="BodyText"/>
        <w:ind w:left="722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（数据来源：中国外汇交易中心）</w:t>
      </w:r>
    </w:p>
    <w:p>
      <w:pPr>
        <w:pStyle w:val="BodyText"/>
        <w:ind w:left="414"/>
        <w:spacing w:before="474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（二）外汇市场</w:t>
      </w:r>
    </w:p>
    <w:p>
      <w:pPr>
        <w:pStyle w:val="BodyText"/>
        <w:ind w:firstLine="433"/>
        <w:spacing w:before="250" w:line="249" w:lineRule="auto"/>
        <w:jc w:val="both"/>
        <w:rPr/>
      </w:pPr>
      <w:r>
        <w:rPr>
          <w:color w:val="231F20"/>
          <w:spacing w:val="4"/>
        </w:rPr>
        <w:t>交易量创历史新高。</w:t>
      </w:r>
      <w:r>
        <w:rPr>
          <w:color w:val="231F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2024</w:t>
      </w:r>
      <w:r>
        <w:rPr>
          <w:color w:val="231F20"/>
          <w:spacing w:val="4"/>
        </w:rPr>
        <w:t>年，境内人民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>币外汇市场交易量总计</w:t>
      </w:r>
      <w:r>
        <w:rPr>
          <w:rFonts w:ascii="Times New Roman" w:hAnsi="Times New Roman" w:eastAsia="Times New Roman" w:cs="Times New Roman"/>
          <w:color w:val="231F20"/>
          <w:spacing w:val="10"/>
        </w:rPr>
        <w:t>41.1</w:t>
      </w:r>
      <w:r>
        <w:rPr>
          <w:color w:val="231F20"/>
          <w:spacing w:val="10"/>
        </w:rPr>
        <w:t>万亿美元（日均</w:t>
      </w:r>
      <w:r>
        <w:rPr>
          <w:color w:val="231F20"/>
          <w:spacing w:val="1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1693</w:t>
      </w:r>
      <w:r>
        <w:rPr>
          <w:color w:val="231F20"/>
          <w:spacing w:val="1"/>
        </w:rPr>
        <w:t>亿美元</w:t>
      </w:r>
      <w:r>
        <w:rPr>
          <w:color w:val="231F20"/>
          <w:spacing w:val="10"/>
        </w:rPr>
        <w:t>），</w:t>
      </w:r>
      <w:r>
        <w:rPr>
          <w:color w:val="231F20"/>
          <w:spacing w:val="1"/>
        </w:rPr>
        <w:t>同比增长</w:t>
      </w:r>
      <w:r>
        <w:rPr>
          <w:rFonts w:ascii="Times New Roman" w:hAnsi="Times New Roman" w:eastAsia="Times New Roman" w:cs="Times New Roman"/>
          <w:color w:val="231F20"/>
          <w:spacing w:val="1"/>
        </w:rPr>
        <w:t>14.8%</w:t>
      </w:r>
      <w:r>
        <w:rPr>
          <w:color w:val="231F20"/>
          <w:spacing w:val="1"/>
        </w:rPr>
        <w:t>。其中，银行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对客户市场和银行间市场交易量分别为</w:t>
      </w:r>
      <w:r>
        <w:rPr>
          <w:rFonts w:ascii="Times New Roman" w:hAnsi="Times New Roman" w:eastAsia="Times New Roman" w:cs="Times New Roman"/>
          <w:color w:val="231F20"/>
          <w:spacing w:val="5"/>
        </w:rPr>
        <w:t>5.9</w:t>
      </w:r>
      <w:r>
        <w:rPr>
          <w:color w:val="231F20"/>
          <w:spacing w:val="5"/>
        </w:rPr>
        <w:t>万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0"/>
        </w:rPr>
        <w:t>亿美元和</w:t>
      </w:r>
      <w:r>
        <w:rPr>
          <w:rFonts w:ascii="Times New Roman" w:hAnsi="Times New Roman" w:eastAsia="Times New Roman" w:cs="Times New Roman"/>
          <w:color w:val="231F20"/>
          <w:spacing w:val="10"/>
        </w:rPr>
        <w:t>35.2</w:t>
      </w:r>
      <w:r>
        <w:rPr>
          <w:color w:val="231F20"/>
          <w:spacing w:val="10"/>
        </w:rPr>
        <w:t>万亿美元；即期和衍生产品交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易量分别为</w:t>
      </w:r>
      <w:r>
        <w:rPr>
          <w:rFonts w:ascii="Times New Roman" w:hAnsi="Times New Roman" w:eastAsia="Times New Roman" w:cs="Times New Roman"/>
          <w:color w:val="231F20"/>
          <w:spacing w:val="3"/>
        </w:rPr>
        <w:t>13.9</w:t>
      </w:r>
      <w:r>
        <w:rPr>
          <w:color w:val="231F20"/>
          <w:spacing w:val="3"/>
        </w:rPr>
        <w:t>万亿美元和</w:t>
      </w:r>
      <w:r>
        <w:rPr>
          <w:rFonts w:ascii="Times New Roman" w:hAnsi="Times New Roman" w:eastAsia="Times New Roman" w:cs="Times New Roman"/>
          <w:color w:val="231F20"/>
          <w:spacing w:val="3"/>
        </w:rPr>
        <w:t>27.2</w:t>
      </w:r>
      <w:r>
        <w:rPr>
          <w:color w:val="231F20"/>
          <w:spacing w:val="3"/>
        </w:rPr>
        <w:t>万</w:t>
      </w:r>
      <w:r>
        <w:rPr>
          <w:color w:val="231F20"/>
          <w:spacing w:val="2"/>
        </w:rPr>
        <w:t>亿美元，衍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>生产品占总交易量的比重为</w:t>
      </w:r>
      <w:r>
        <w:rPr>
          <w:rFonts w:ascii="Times New Roman" w:hAnsi="Times New Roman" w:eastAsia="Times New Roman" w:cs="Times New Roman"/>
          <w:color w:val="231F20"/>
          <w:spacing w:val="12"/>
        </w:rPr>
        <w:t>66.1%</w:t>
      </w:r>
      <w:r>
        <w:rPr>
          <w:color w:val="231F20"/>
          <w:spacing w:val="12"/>
        </w:rPr>
        <w:t>，创历史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新高。</w:t>
      </w:r>
    </w:p>
    <w:p>
      <w:pPr>
        <w:pStyle w:val="BodyText"/>
        <w:ind w:left="1" w:firstLine="424"/>
        <w:spacing w:before="6" w:line="249" w:lineRule="auto"/>
        <w:jc w:val="both"/>
        <w:rPr/>
      </w:pPr>
      <w:r>
        <w:rPr>
          <w:color w:val="231F20"/>
          <w:spacing w:val="9"/>
        </w:rPr>
        <w:t>外汇市场更加开放多元。   截至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rFonts w:ascii="Times New Roman" w:hAnsi="Times New Roman" w:eastAsia="Times New Roman" w:cs="Times New Roman"/>
          <w:color w:val="231F20"/>
          <w:spacing w:val="-7"/>
        </w:rPr>
        <w:t xml:space="preserve"> </w:t>
      </w:r>
      <w:r>
        <w:rPr>
          <w:color w:val="231F20"/>
          <w:spacing w:val="9"/>
        </w:rPr>
        <w:t>年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末，银行间外汇市场已有</w:t>
      </w:r>
      <w:r>
        <w:rPr>
          <w:rFonts w:ascii="Times New Roman" w:hAnsi="Times New Roman" w:eastAsia="Times New Roman" w:cs="Times New Roman"/>
          <w:color w:val="231F20"/>
          <w:spacing w:val="7"/>
        </w:rPr>
        <w:t>692</w:t>
      </w:r>
      <w:r>
        <w:rPr>
          <w:color w:val="231F20"/>
          <w:spacing w:val="7"/>
        </w:rPr>
        <w:t>家银行和</w:t>
      </w:r>
      <w:r>
        <w:rPr>
          <w:rFonts w:ascii="Times New Roman" w:hAnsi="Times New Roman" w:eastAsia="Times New Roman" w:cs="Times New Roman"/>
          <w:color w:val="231F20"/>
          <w:spacing w:val="7"/>
        </w:rPr>
        <w:t>117</w:t>
      </w:r>
      <w:r>
        <w:rPr>
          <w:color w:val="231F20"/>
          <w:spacing w:val="7"/>
        </w:rPr>
        <w:t>家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9"/>
        </w:rPr>
        <w:t>非银机构，形成以大型银行为做市商，向中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小银行和其他机构提供流动性的格局。</w:t>
      </w:r>
      <w:r>
        <w:rPr>
          <w:color w:val="231F20"/>
          <w:spacing w:val="3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134</w:t>
      </w:r>
      <w:r>
        <w:rPr>
          <w:color w:val="231F20"/>
          <w:spacing w:val="-1"/>
        </w:rPr>
        <w:t>家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境内外资机构和</w:t>
      </w:r>
      <w:r>
        <w:rPr>
          <w:rFonts w:ascii="Times New Roman" w:hAnsi="Times New Roman" w:eastAsia="Times New Roman" w:cs="Times New Roman"/>
          <w:color w:val="231F20"/>
          <w:spacing w:val="3"/>
        </w:rPr>
        <w:t>158</w:t>
      </w:r>
      <w:r>
        <w:rPr>
          <w:color w:val="231F20"/>
          <w:spacing w:val="3"/>
        </w:rPr>
        <w:t>家境外机构进入银行间外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汇市场，交易量占比为</w:t>
      </w:r>
      <w:r>
        <w:rPr>
          <w:rFonts w:ascii="Times New Roman" w:hAnsi="Times New Roman" w:eastAsia="Times New Roman" w:cs="Times New Roman"/>
          <w:color w:val="231F20"/>
          <w:spacing w:val="1"/>
        </w:rPr>
        <w:t>19.8%</w:t>
      </w:r>
      <w:r>
        <w:rPr>
          <w:color w:val="231F20"/>
          <w:spacing w:val="1"/>
        </w:rPr>
        <w:t>，处于历史较高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8"/>
        </w:rPr>
        <w:t>水平。</w:t>
      </w:r>
    </w:p>
    <w:p>
      <w:pPr>
        <w:pStyle w:val="BodyText"/>
        <w:ind w:left="1" w:firstLine="419"/>
        <w:spacing w:before="6" w:line="224" w:lineRule="auto"/>
        <w:jc w:val="both"/>
        <w:rPr/>
      </w:pPr>
      <w:r>
        <w:rPr>
          <w:color w:val="231F20"/>
          <w:spacing w:val="1"/>
        </w:rPr>
        <w:t>企业汇率风险管理意识继续增强。  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rFonts w:ascii="Times New Roman" w:hAnsi="Times New Roman" w:eastAsia="Times New Roman" w:cs="Times New Roman"/>
          <w:color w:val="231F20"/>
          <w:spacing w:val="7"/>
        </w:rPr>
        <w:t xml:space="preserve"> </w:t>
      </w:r>
      <w:r>
        <w:rPr>
          <w:color w:val="231F20"/>
          <w:spacing w:val="9"/>
        </w:rPr>
        <w:t>年，企业利用远期、掉期、期权等外汇衍生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品管理汇率风险的规模为</w:t>
      </w:r>
      <w:r>
        <w:rPr>
          <w:rFonts w:ascii="Times New Roman" w:hAnsi="Times New Roman" w:eastAsia="Times New Roman" w:cs="Times New Roman"/>
          <w:color w:val="231F20"/>
          <w:spacing w:val="5"/>
        </w:rPr>
        <w:t>1.6</w:t>
      </w:r>
      <w:r>
        <w:rPr>
          <w:color w:val="231F20"/>
          <w:spacing w:val="5"/>
        </w:rPr>
        <w:t>万亿美元，同比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-1"/>
        </w:rPr>
        <w:t>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24.4%</w:t>
      </w:r>
      <w:r>
        <w:rPr>
          <w:color w:val="231F20"/>
          <w:spacing w:val="-1"/>
        </w:rPr>
        <w:t>。企业套保率较上年提高</w:t>
      </w:r>
      <w:r>
        <w:rPr>
          <w:rFonts w:ascii="Times New Roman" w:hAnsi="Times New Roman" w:eastAsia="Times New Roman" w:cs="Times New Roman"/>
          <w:color w:val="231F20"/>
          <w:spacing w:val="-1"/>
        </w:rPr>
        <w:t>2.5</w:t>
      </w:r>
      <w:r>
        <w:rPr>
          <w:color w:val="231F20"/>
          <w:spacing w:val="-1"/>
        </w:rPr>
        <w:t>个百分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-1"/>
        </w:rPr>
        <w:t>点至</w:t>
      </w:r>
      <w:r>
        <w:rPr>
          <w:rFonts w:ascii="Times New Roman" w:hAnsi="Times New Roman" w:eastAsia="Times New Roman" w:cs="Times New Roman"/>
          <w:color w:val="231F20"/>
          <w:spacing w:val="-1"/>
        </w:rPr>
        <w:t>26.8%</w:t>
      </w:r>
      <w:r>
        <w:rPr>
          <w:color w:val="231F20"/>
          <w:spacing w:val="-1"/>
        </w:rPr>
        <w:t>。</w:t>
      </w:r>
    </w:p>
    <w:p>
      <w:pPr>
        <w:spacing w:line="224" w:lineRule="auto"/>
        <w:sectPr>
          <w:type w:val="continuous"/>
          <w:pgSz w:w="11906" w:h="16158"/>
          <w:pgMar w:top="1383" w:right="1415" w:bottom="400" w:left="1702" w:header="1060" w:footer="0" w:gutter="0"/>
          <w:cols w:equalWidth="0" w:num="2">
            <w:col w:w="4523" w:space="100"/>
            <w:col w:w="4165" w:space="0"/>
          </w:cols>
        </w:sectPr>
        <w:rPr/>
      </w:pPr>
    </w:p>
    <w:p>
      <w:pPr>
        <w:spacing w:before="166"/>
        <w:rPr/>
      </w:pPr>
      <w:r/>
    </w:p>
    <w:p>
      <w:pPr>
        <w:sectPr>
          <w:headerReference w:type="default" r:id="rId196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417"/>
        <w:spacing w:before="279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（三）债券市场</w:t>
      </w:r>
    </w:p>
    <w:p>
      <w:pPr>
        <w:pStyle w:val="BodyText"/>
        <w:ind w:left="5" w:right="354" w:firstLine="421"/>
        <w:spacing w:before="243" w:line="250" w:lineRule="auto"/>
        <w:jc w:val="both"/>
        <w:rPr/>
      </w:pPr>
      <w:r>
        <w:rPr>
          <w:color w:val="231F20"/>
          <w:spacing w:val="3"/>
        </w:rPr>
        <w:t>债券发行规模同比增长。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年，债券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0"/>
        </w:rPr>
        <w:t>市场共发行各类债券</w:t>
      </w:r>
      <w:r>
        <w:rPr>
          <w:rFonts w:ascii="Times New Roman" w:hAnsi="Times New Roman" w:eastAsia="Times New Roman" w:cs="Times New Roman"/>
          <w:color w:val="231F20"/>
          <w:spacing w:val="10"/>
        </w:rPr>
        <w:t>79.3</w:t>
      </w:r>
      <w:r>
        <w:rPr>
          <w:color w:val="231F20"/>
          <w:spacing w:val="10"/>
        </w:rPr>
        <w:t>万亿元，同比增长</w:t>
      </w:r>
      <w:r>
        <w:rPr>
          <w:color w:val="231F20"/>
          <w:spacing w:val="1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11.7%</w:t>
      </w:r>
      <w:r>
        <w:rPr>
          <w:color w:val="231F20"/>
          <w:spacing w:val="11"/>
        </w:rPr>
        <w:t>。分券种看，国债发行</w:t>
      </w:r>
      <w:r>
        <w:rPr>
          <w:rFonts w:ascii="Times New Roman" w:hAnsi="Times New Roman" w:eastAsia="Times New Roman" w:cs="Times New Roman"/>
          <w:color w:val="231F20"/>
          <w:spacing w:val="11"/>
        </w:rPr>
        <w:t>12.4</w:t>
      </w:r>
      <w:r>
        <w:rPr>
          <w:color w:val="231F20"/>
          <w:spacing w:val="11"/>
        </w:rPr>
        <w:t>万亿元，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" w:hanging="3"/>
        <w:spacing w:before="44" w:line="256" w:lineRule="auto"/>
        <w:jc w:val="both"/>
        <w:rPr/>
      </w:pPr>
      <w:r>
        <w:rPr>
          <w:color w:val="231F20"/>
          <w:spacing w:val="5"/>
        </w:rPr>
        <w:t>地方政府债券发行</w:t>
      </w:r>
      <w:r>
        <w:rPr>
          <w:rFonts w:ascii="Times New Roman" w:hAnsi="Times New Roman" w:eastAsia="Times New Roman" w:cs="Times New Roman"/>
          <w:color w:val="231F20"/>
          <w:spacing w:val="5"/>
        </w:rPr>
        <w:t>9.8</w:t>
      </w:r>
      <w:r>
        <w:rPr>
          <w:color w:val="231F20"/>
          <w:spacing w:val="5"/>
        </w:rPr>
        <w:t>万亿元，金融债券发行</w:t>
      </w:r>
      <w:r>
        <w:rPr>
          <w:color w:val="231F20"/>
          <w:spacing w:val="1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10.4</w:t>
      </w:r>
      <w:r>
        <w:rPr>
          <w:color w:val="231F20"/>
          <w:spacing w:val="6"/>
        </w:rPr>
        <w:t>万亿元，公司信用类债券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6"/>
          <w:position w:val="8"/>
        </w:rPr>
        <w:t>①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-15"/>
          <w:position w:val="8"/>
        </w:rPr>
        <w:t xml:space="preserve"> </w:t>
      </w:r>
      <w:r>
        <w:rPr>
          <w:color w:val="231F20"/>
          <w:spacing w:val="6"/>
        </w:rPr>
        <w:t>发行</w:t>
      </w:r>
      <w:r>
        <w:rPr>
          <w:rFonts w:ascii="Times New Roman" w:hAnsi="Times New Roman" w:eastAsia="Times New Roman" w:cs="Times New Roman"/>
          <w:color w:val="231F20"/>
          <w:spacing w:val="6"/>
        </w:rPr>
        <w:t>14.5</w:t>
      </w:r>
      <w:r>
        <w:rPr>
          <w:color w:val="231F20"/>
          <w:spacing w:val="6"/>
        </w:rPr>
        <w:t>万亿</w:t>
      </w:r>
      <w:r>
        <w:rPr>
          <w:color w:val="231F20"/>
        </w:rPr>
        <w:t xml:space="preserve"> </w:t>
      </w:r>
      <w:r>
        <w:rPr>
          <w:color w:val="231F20"/>
        </w:rPr>
        <w:t>元，信贷资产支持证券发行</w:t>
      </w:r>
      <w:r>
        <w:rPr>
          <w:rFonts w:ascii="Times New Roman" w:hAnsi="Times New Roman" w:eastAsia="Times New Roman" w:cs="Times New Roman"/>
          <w:color w:val="231F20"/>
        </w:rPr>
        <w:t>2703.8</w:t>
      </w:r>
      <w:r>
        <w:rPr>
          <w:color w:val="231F20"/>
        </w:rPr>
        <w:t>亿元，同业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存单发行</w:t>
      </w:r>
      <w:r>
        <w:rPr>
          <w:rFonts w:ascii="Times New Roman" w:hAnsi="Times New Roman" w:eastAsia="Times New Roman" w:cs="Times New Roman"/>
          <w:color w:val="231F20"/>
          <w:spacing w:val="1"/>
        </w:rPr>
        <w:t>31.5</w:t>
      </w:r>
      <w:r>
        <w:rPr>
          <w:color w:val="231F20"/>
          <w:spacing w:val="1"/>
        </w:rPr>
        <w:t>万亿元（见表</w:t>
      </w:r>
      <w:r>
        <w:rPr>
          <w:rFonts w:ascii="Times New Roman" w:hAnsi="Times New Roman" w:eastAsia="Times New Roman" w:cs="Times New Roman"/>
          <w:color w:val="231F20"/>
          <w:spacing w:val="1"/>
        </w:rPr>
        <w:t>4</w:t>
      </w:r>
      <w:r>
        <w:rPr>
          <w:color w:val="231F20"/>
          <w:spacing w:val="1"/>
        </w:rPr>
        <w:t>-</w:t>
      </w:r>
      <w:r>
        <w:rPr>
          <w:rFonts w:ascii="Times New Roman" w:hAnsi="Times New Roman" w:eastAsia="Times New Roman" w:cs="Times New Roman"/>
          <w:color w:val="231F20"/>
          <w:spacing w:val="1"/>
        </w:rPr>
        <w:t>1</w:t>
      </w:r>
      <w:r>
        <w:rPr>
          <w:color w:val="231F20"/>
          <w:spacing w:val="1"/>
        </w:rPr>
        <w:t>）。</w:t>
      </w:r>
    </w:p>
    <w:p>
      <w:pPr>
        <w:spacing w:line="256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4" w:space="100"/>
            <w:col w:w="4166" w:space="0"/>
          </w:cols>
        </w:sectPr>
        <w:rPr/>
      </w:pPr>
    </w:p>
    <w:p>
      <w:pPr>
        <w:pStyle w:val="BodyText"/>
        <w:ind w:left="415"/>
        <w:spacing w:before="107" w:line="208" w:lineRule="auto"/>
        <w:rPr/>
      </w:pPr>
      <w:r>
        <w:rPr>
          <w:color w:val="174B8B"/>
          <w:spacing w:val="1"/>
        </w:rPr>
        <w:t>表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>4</w:t>
      </w:r>
      <w:r>
        <w:rPr>
          <w:color w:val="174B8B"/>
          <w:spacing w:val="1"/>
        </w:rPr>
        <w:t>-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>1                                 2024</w:t>
      </w:r>
      <w:r>
        <w:rPr>
          <w:color w:val="174B8B"/>
          <w:spacing w:val="1"/>
        </w:rPr>
        <w:t>年主要债券品种发行和托管情况</w:t>
      </w:r>
    </w:p>
    <w:p>
      <w:pPr>
        <w:spacing w:line="22" w:lineRule="exact"/>
        <w:rPr/>
      </w:pPr>
      <w:r/>
    </w:p>
    <w:tbl>
      <w:tblPr>
        <w:tblStyle w:val="TableNormal"/>
        <w:tblW w:w="8765" w:type="dxa"/>
        <w:tblInd w:w="5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043"/>
        <w:gridCol w:w="1491"/>
        <w:gridCol w:w="1568"/>
        <w:gridCol w:w="1881"/>
        <w:gridCol w:w="1782"/>
      </w:tblGrid>
      <w:tr>
        <w:trPr>
          <w:trHeight w:val="362" w:hRule="atLeast"/>
        </w:trPr>
        <w:tc>
          <w:tcPr>
            <w:shd w:val="clear" w:fill="174B8B"/>
            <w:tcW w:w="2043" w:type="dxa"/>
            <w:vAlign w:val="top"/>
          </w:tcPr>
          <w:p>
            <w:pPr>
              <w:pStyle w:val="TableText"/>
              <w:ind w:left="842"/>
              <w:spacing w:before="78" w:line="174" w:lineRule="auto"/>
              <w:rPr/>
            </w:pPr>
            <w:r>
              <w:rPr>
                <w:color w:val="FFFFFF"/>
                <w:spacing w:val="-2"/>
              </w:rPr>
              <w:t>券种</w:t>
            </w:r>
          </w:p>
        </w:tc>
        <w:tc>
          <w:tcPr>
            <w:shd w:val="clear" w:fill="174B8B"/>
            <w:tcW w:w="1491" w:type="dxa"/>
            <w:vAlign w:val="top"/>
          </w:tcPr>
          <w:p>
            <w:pPr>
              <w:pStyle w:val="TableText"/>
              <w:ind w:left="115"/>
              <w:spacing w:before="80" w:line="169" w:lineRule="auto"/>
              <w:rPr/>
            </w:pPr>
            <w:r>
              <w:rPr>
                <w:color w:val="FFFFFF"/>
              </w:rPr>
              <w:t>发行（万亿元）</w:t>
            </w:r>
          </w:p>
        </w:tc>
        <w:tc>
          <w:tcPr>
            <w:shd w:val="clear" w:fill="174B8B"/>
            <w:tcW w:w="1568" w:type="dxa"/>
            <w:vAlign w:val="top"/>
          </w:tcPr>
          <w:p>
            <w:pPr>
              <w:pStyle w:val="TableText"/>
              <w:ind w:left="351"/>
              <w:spacing w:before="56" w:line="205" w:lineRule="auto"/>
              <w:rPr/>
            </w:pPr>
            <w:r>
              <w:rPr>
                <w:color w:val="FFFFFF"/>
                <w:spacing w:val="-15"/>
              </w:rPr>
              <w:t>同比（  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5"/>
              </w:rPr>
              <w:t>%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12"/>
              </w:rPr>
              <w:t xml:space="preserve"> </w:t>
            </w:r>
            <w:r>
              <w:rPr>
                <w:color w:val="FFFFFF"/>
                <w:spacing w:val="-15"/>
              </w:rPr>
              <w:t>）</w:t>
            </w:r>
          </w:p>
        </w:tc>
        <w:tc>
          <w:tcPr>
            <w:shd w:val="clear" w:fill="174B8B"/>
            <w:tcW w:w="1881" w:type="dxa"/>
            <w:vAlign w:val="top"/>
          </w:tcPr>
          <w:p>
            <w:pPr>
              <w:pStyle w:val="TableText"/>
              <w:ind w:left="227"/>
              <w:spacing w:before="77" w:line="173" w:lineRule="auto"/>
              <w:rPr/>
            </w:pPr>
            <w:r>
              <w:rPr>
                <w:color w:val="FFFFFF"/>
                <w:spacing w:val="-1"/>
              </w:rPr>
              <w:t>托管量（万亿元）</w:t>
            </w:r>
          </w:p>
        </w:tc>
        <w:tc>
          <w:tcPr>
            <w:shd w:val="clear" w:fill="174B8B"/>
            <w:tcW w:w="1782" w:type="dxa"/>
            <w:vAlign w:val="top"/>
          </w:tcPr>
          <w:p>
            <w:pPr>
              <w:pStyle w:val="TableText"/>
              <w:ind w:left="459"/>
              <w:spacing w:before="56" w:line="205" w:lineRule="auto"/>
              <w:rPr/>
            </w:pPr>
            <w:r>
              <w:rPr>
                <w:color w:val="FFFFFF"/>
                <w:spacing w:val="-15"/>
              </w:rPr>
              <w:t>同比（  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15"/>
              </w:rPr>
              <w:t>%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12"/>
              </w:rPr>
              <w:t xml:space="preserve"> </w:t>
            </w:r>
            <w:r>
              <w:rPr>
                <w:color w:val="FFFFFF"/>
                <w:spacing w:val="-15"/>
              </w:rPr>
              <w:t>）</w:t>
            </w:r>
          </w:p>
        </w:tc>
      </w:tr>
      <w:tr>
        <w:trPr>
          <w:trHeight w:val="357" w:hRule="atLeast"/>
        </w:trPr>
        <w:tc>
          <w:tcPr>
            <w:shd w:val="clear" w:fill="D4E5F5"/>
            <w:tcW w:w="2043" w:type="dxa"/>
            <w:vAlign w:val="top"/>
          </w:tcPr>
          <w:p>
            <w:pPr>
              <w:pStyle w:val="TableText"/>
              <w:ind w:left="101"/>
              <w:spacing w:before="74" w:line="177" w:lineRule="auto"/>
              <w:rPr/>
            </w:pPr>
            <w:r>
              <w:rPr>
                <w:color w:val="231F20"/>
                <w:spacing w:val="-6"/>
              </w:rPr>
              <w:t>国债</w:t>
            </w:r>
          </w:p>
        </w:tc>
        <w:tc>
          <w:tcPr>
            <w:shd w:val="clear" w:fill="D4E5F5"/>
            <w:tcW w:w="1491" w:type="dxa"/>
            <w:vAlign w:val="top"/>
          </w:tcPr>
          <w:p>
            <w:pPr>
              <w:pStyle w:val="TableText"/>
              <w:ind w:left="602"/>
              <w:spacing w:before="69" w:line="192" w:lineRule="auto"/>
              <w:rPr/>
            </w:pPr>
            <w:r>
              <w:rPr>
                <w:color w:val="231F20"/>
                <w:spacing w:val="-11"/>
              </w:rPr>
              <w:t>12.4</w:t>
            </w:r>
          </w:p>
        </w:tc>
        <w:tc>
          <w:tcPr>
            <w:shd w:val="clear" w:fill="D4E5F5"/>
            <w:tcW w:w="1568" w:type="dxa"/>
            <w:vAlign w:val="top"/>
          </w:tcPr>
          <w:p>
            <w:pPr>
              <w:pStyle w:val="TableText"/>
              <w:ind w:left="643"/>
              <w:spacing w:before="69" w:line="192" w:lineRule="auto"/>
              <w:rPr/>
            </w:pPr>
            <w:r>
              <w:rPr>
                <w:color w:val="231F20"/>
                <w:spacing w:val="-11"/>
              </w:rPr>
              <w:t>12.3</w:t>
            </w:r>
          </w:p>
        </w:tc>
        <w:tc>
          <w:tcPr>
            <w:shd w:val="clear" w:fill="D4E5F5"/>
            <w:tcW w:w="1881" w:type="dxa"/>
            <w:vAlign w:val="top"/>
          </w:tcPr>
          <w:p>
            <w:pPr>
              <w:pStyle w:val="TableText"/>
              <w:ind w:left="790"/>
              <w:spacing w:before="69" w:line="192" w:lineRule="auto"/>
              <w:rPr/>
            </w:pPr>
            <w:r>
              <w:rPr>
                <w:color w:val="231F20"/>
                <w:spacing w:val="-9"/>
              </w:rPr>
              <w:t>33.9</w:t>
            </w:r>
          </w:p>
        </w:tc>
        <w:tc>
          <w:tcPr>
            <w:shd w:val="clear" w:fill="D4E5F5"/>
            <w:tcW w:w="1782" w:type="dxa"/>
            <w:vAlign w:val="top"/>
          </w:tcPr>
          <w:p>
            <w:pPr>
              <w:pStyle w:val="TableText"/>
              <w:ind w:left="751"/>
              <w:spacing w:before="69" w:line="192" w:lineRule="auto"/>
              <w:rPr/>
            </w:pPr>
            <w:r>
              <w:rPr>
                <w:color w:val="231F20"/>
                <w:spacing w:val="-11"/>
              </w:rPr>
              <w:t>15.4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043" w:type="dxa"/>
            <w:vAlign w:val="top"/>
          </w:tcPr>
          <w:p>
            <w:pPr>
              <w:pStyle w:val="TableText"/>
              <w:ind w:left="84"/>
              <w:spacing w:before="75" w:line="177" w:lineRule="auto"/>
              <w:rPr/>
            </w:pPr>
            <w:r>
              <w:rPr>
                <w:color w:val="231F20"/>
                <w:spacing w:val="-1"/>
              </w:rPr>
              <w:t>地方政府债</w:t>
            </w:r>
          </w:p>
        </w:tc>
        <w:tc>
          <w:tcPr>
            <w:shd w:val="clear" w:fill="D4E5F5"/>
            <w:tcW w:w="1491" w:type="dxa"/>
            <w:vAlign w:val="top"/>
          </w:tcPr>
          <w:p>
            <w:pPr>
              <w:pStyle w:val="TableText"/>
              <w:ind w:left="632"/>
              <w:spacing w:before="72" w:line="191" w:lineRule="auto"/>
              <w:rPr/>
            </w:pPr>
            <w:r>
              <w:rPr>
                <w:color w:val="231F20"/>
                <w:spacing w:val="-7"/>
              </w:rPr>
              <w:t>9.8</w:t>
            </w:r>
          </w:p>
        </w:tc>
        <w:tc>
          <w:tcPr>
            <w:shd w:val="clear" w:fill="D4E5F5"/>
            <w:tcW w:w="1568" w:type="dxa"/>
            <w:vAlign w:val="top"/>
          </w:tcPr>
          <w:p>
            <w:pPr>
              <w:pStyle w:val="TableText"/>
              <w:ind w:left="670"/>
              <w:spacing w:before="72" w:line="191" w:lineRule="auto"/>
              <w:rPr/>
            </w:pPr>
            <w:r>
              <w:rPr>
                <w:color w:val="231F20"/>
                <w:spacing w:val="-6"/>
              </w:rPr>
              <w:t>4.9</w:t>
            </w:r>
          </w:p>
        </w:tc>
        <w:tc>
          <w:tcPr>
            <w:shd w:val="clear" w:fill="D4E5F5"/>
            <w:tcW w:w="1881" w:type="dxa"/>
            <w:vAlign w:val="top"/>
          </w:tcPr>
          <w:p>
            <w:pPr>
              <w:pStyle w:val="TableText"/>
              <w:ind w:left="784"/>
              <w:spacing w:before="72" w:line="191" w:lineRule="auto"/>
              <w:rPr/>
            </w:pPr>
            <w:r>
              <w:rPr>
                <w:color w:val="231F20"/>
                <w:spacing w:val="-8"/>
              </w:rPr>
              <w:t>47.4</w:t>
            </w:r>
          </w:p>
        </w:tc>
        <w:tc>
          <w:tcPr>
            <w:shd w:val="clear" w:fill="D4E5F5"/>
            <w:tcW w:w="1782" w:type="dxa"/>
            <w:vAlign w:val="top"/>
          </w:tcPr>
          <w:p>
            <w:pPr>
              <w:pStyle w:val="TableText"/>
              <w:ind w:left="751"/>
              <w:spacing w:before="72" w:line="191" w:lineRule="auto"/>
              <w:rPr/>
            </w:pPr>
            <w:r>
              <w:rPr>
                <w:color w:val="231F20"/>
                <w:spacing w:val="-11"/>
              </w:rPr>
              <w:t>16.8</w:t>
            </w:r>
          </w:p>
        </w:tc>
      </w:tr>
      <w:tr>
        <w:trPr>
          <w:trHeight w:val="357" w:hRule="atLeast"/>
        </w:trPr>
        <w:tc>
          <w:tcPr>
            <w:shd w:val="clear" w:fill="D4E5F5"/>
            <w:tcW w:w="2043" w:type="dxa"/>
            <w:vAlign w:val="top"/>
          </w:tcPr>
          <w:p>
            <w:pPr>
              <w:pStyle w:val="TableText"/>
              <w:ind w:left="84"/>
              <w:spacing w:before="76" w:line="177" w:lineRule="auto"/>
              <w:rPr/>
            </w:pPr>
            <w:r>
              <w:rPr>
                <w:color w:val="231F20"/>
                <w:spacing w:val="-1"/>
              </w:rPr>
              <w:t>政策性银行债</w:t>
            </w:r>
          </w:p>
        </w:tc>
        <w:tc>
          <w:tcPr>
            <w:shd w:val="clear" w:fill="D4E5F5"/>
            <w:tcW w:w="1491" w:type="dxa"/>
            <w:vAlign w:val="top"/>
          </w:tcPr>
          <w:p>
            <w:pPr>
              <w:pStyle w:val="TableText"/>
              <w:ind w:left="633"/>
              <w:spacing w:before="72" w:line="190" w:lineRule="auto"/>
              <w:rPr/>
            </w:pPr>
            <w:r>
              <w:rPr>
                <w:color w:val="231F20"/>
                <w:spacing w:val="-7"/>
              </w:rPr>
              <w:t>5.7</w:t>
            </w:r>
          </w:p>
        </w:tc>
        <w:tc>
          <w:tcPr>
            <w:shd w:val="clear" w:fill="D4E5F5"/>
            <w:tcW w:w="1568" w:type="dxa"/>
            <w:vAlign w:val="top"/>
          </w:tcPr>
          <w:p>
            <w:pPr>
              <w:pStyle w:val="TableText"/>
              <w:ind w:left="627"/>
              <w:spacing w:before="72" w:line="190" w:lineRule="auto"/>
              <w:rPr/>
            </w:pPr>
            <w:r>
              <w:rPr>
                <w:color w:val="231F20"/>
              </w:rPr>
              <w:t>-3.3</w:t>
            </w:r>
          </w:p>
        </w:tc>
        <w:tc>
          <w:tcPr>
            <w:shd w:val="clear" w:fill="D4E5F5"/>
            <w:tcW w:w="1881" w:type="dxa"/>
            <w:vAlign w:val="top"/>
          </w:tcPr>
          <w:p>
            <w:pPr>
              <w:pStyle w:val="TableText"/>
              <w:ind w:left="787"/>
              <w:spacing w:before="72" w:line="190" w:lineRule="auto"/>
              <w:rPr/>
            </w:pPr>
            <w:r>
              <w:rPr>
                <w:color w:val="231F20"/>
                <w:spacing w:val="-8"/>
              </w:rPr>
              <w:t>25.9</w:t>
            </w:r>
          </w:p>
        </w:tc>
        <w:tc>
          <w:tcPr>
            <w:shd w:val="clear" w:fill="D4E5F5"/>
            <w:tcW w:w="1782" w:type="dxa"/>
            <w:vAlign w:val="top"/>
          </w:tcPr>
          <w:p>
            <w:pPr>
              <w:pStyle w:val="TableText"/>
              <w:ind w:left="782"/>
              <w:spacing w:before="72" w:line="190" w:lineRule="auto"/>
              <w:rPr/>
            </w:pPr>
            <w:r>
              <w:rPr>
                <w:color w:val="231F20"/>
                <w:spacing w:val="-7"/>
              </w:rPr>
              <w:t>6.7</w:t>
            </w:r>
          </w:p>
        </w:tc>
      </w:tr>
      <w:tr>
        <w:trPr>
          <w:trHeight w:val="357" w:hRule="atLeast"/>
        </w:trPr>
        <w:tc>
          <w:tcPr>
            <w:shd w:val="clear" w:fill="D4E5F5"/>
            <w:tcW w:w="2043" w:type="dxa"/>
            <w:vAlign w:val="top"/>
          </w:tcPr>
          <w:p>
            <w:pPr>
              <w:pStyle w:val="TableText"/>
              <w:ind w:left="82"/>
              <w:spacing w:before="77" w:line="178" w:lineRule="auto"/>
              <w:rPr/>
            </w:pPr>
            <w:r>
              <w:rPr>
                <w:color w:val="231F20"/>
                <w:spacing w:val="-1"/>
              </w:rPr>
              <w:t>其他金融债</w:t>
            </w:r>
          </w:p>
        </w:tc>
        <w:tc>
          <w:tcPr>
            <w:shd w:val="clear" w:fill="D4E5F5"/>
            <w:tcW w:w="1491" w:type="dxa"/>
            <w:vAlign w:val="top"/>
          </w:tcPr>
          <w:p>
            <w:pPr>
              <w:pStyle w:val="TableText"/>
              <w:ind w:left="630"/>
              <w:spacing w:before="74" w:line="189" w:lineRule="auto"/>
              <w:rPr/>
            </w:pPr>
            <w:r>
              <w:rPr>
                <w:color w:val="231F20"/>
                <w:spacing w:val="-6"/>
              </w:rPr>
              <w:t>4.7</w:t>
            </w:r>
          </w:p>
        </w:tc>
        <w:tc>
          <w:tcPr>
            <w:shd w:val="clear" w:fill="D4E5F5"/>
            <w:tcW w:w="1568" w:type="dxa"/>
            <w:vAlign w:val="top"/>
          </w:tcPr>
          <w:p>
            <w:pPr>
              <w:pStyle w:val="TableText"/>
              <w:ind w:left="673"/>
              <w:spacing w:before="74" w:line="189" w:lineRule="auto"/>
              <w:rPr/>
            </w:pPr>
            <w:r>
              <w:rPr>
                <w:color w:val="231F20"/>
                <w:spacing w:val="-7"/>
              </w:rPr>
              <w:t>9.7</w:t>
            </w:r>
          </w:p>
        </w:tc>
        <w:tc>
          <w:tcPr>
            <w:shd w:val="clear" w:fill="D4E5F5"/>
            <w:tcW w:w="1881" w:type="dxa"/>
            <w:vAlign w:val="top"/>
          </w:tcPr>
          <w:p>
            <w:pPr>
              <w:pStyle w:val="TableText"/>
              <w:ind w:left="801"/>
              <w:spacing w:before="74" w:line="189" w:lineRule="auto"/>
              <w:rPr/>
            </w:pPr>
            <w:r>
              <w:rPr>
                <w:color w:val="231F20"/>
                <w:spacing w:val="-11"/>
              </w:rPr>
              <w:t>15.1</w:t>
            </w:r>
          </w:p>
        </w:tc>
        <w:tc>
          <w:tcPr>
            <w:shd w:val="clear" w:fill="D4E5F5"/>
            <w:tcW w:w="1782" w:type="dxa"/>
            <w:vAlign w:val="top"/>
          </w:tcPr>
          <w:p>
            <w:pPr>
              <w:pStyle w:val="TableText"/>
              <w:ind w:left="781"/>
              <w:spacing w:before="74" w:line="189" w:lineRule="auto"/>
              <w:rPr/>
            </w:pPr>
            <w:r>
              <w:rPr>
                <w:color w:val="231F20"/>
                <w:spacing w:val="-7"/>
              </w:rPr>
              <w:t>9.2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043" w:type="dxa"/>
            <w:vAlign w:val="top"/>
          </w:tcPr>
          <w:p>
            <w:pPr>
              <w:pStyle w:val="TableText"/>
              <w:ind w:left="100"/>
              <w:spacing w:before="78" w:line="178" w:lineRule="auto"/>
              <w:rPr/>
            </w:pPr>
            <w:r>
              <w:rPr>
                <w:color w:val="231F20"/>
                <w:spacing w:val="-4"/>
              </w:rPr>
              <w:t>同业存单</w:t>
            </w:r>
          </w:p>
        </w:tc>
        <w:tc>
          <w:tcPr>
            <w:shd w:val="clear" w:fill="D4E5F5"/>
            <w:tcW w:w="1491" w:type="dxa"/>
            <w:vAlign w:val="top"/>
          </w:tcPr>
          <w:p>
            <w:pPr>
              <w:pStyle w:val="TableText"/>
              <w:ind w:left="591"/>
              <w:spacing w:before="75" w:line="189" w:lineRule="auto"/>
              <w:rPr/>
            </w:pPr>
            <w:r>
              <w:rPr>
                <w:color w:val="231F20"/>
                <w:spacing w:val="-9"/>
              </w:rPr>
              <w:t>31.5</w:t>
            </w:r>
          </w:p>
        </w:tc>
        <w:tc>
          <w:tcPr>
            <w:shd w:val="clear" w:fill="D4E5F5"/>
            <w:tcW w:w="1568" w:type="dxa"/>
            <w:vAlign w:val="top"/>
          </w:tcPr>
          <w:p>
            <w:pPr>
              <w:pStyle w:val="TableText"/>
              <w:ind w:left="628"/>
              <w:spacing w:before="75" w:line="189" w:lineRule="auto"/>
              <w:rPr/>
            </w:pPr>
            <w:r>
              <w:rPr>
                <w:color w:val="231F20"/>
                <w:spacing w:val="-8"/>
              </w:rPr>
              <w:t>22.0</w:t>
            </w:r>
          </w:p>
        </w:tc>
        <w:tc>
          <w:tcPr>
            <w:shd w:val="clear" w:fill="D4E5F5"/>
            <w:tcW w:w="1881" w:type="dxa"/>
            <w:vAlign w:val="top"/>
          </w:tcPr>
          <w:p>
            <w:pPr>
              <w:pStyle w:val="TableText"/>
              <w:ind w:left="801"/>
              <w:spacing w:before="75" w:line="189" w:lineRule="auto"/>
              <w:rPr/>
            </w:pPr>
            <w:r>
              <w:rPr>
                <w:color w:val="231F20"/>
                <w:spacing w:val="-11"/>
              </w:rPr>
              <w:t>19.4</w:t>
            </w:r>
          </w:p>
        </w:tc>
        <w:tc>
          <w:tcPr>
            <w:shd w:val="clear" w:fill="D4E5F5"/>
            <w:tcW w:w="1782" w:type="dxa"/>
            <w:vAlign w:val="top"/>
          </w:tcPr>
          <w:p>
            <w:pPr>
              <w:pStyle w:val="TableText"/>
              <w:ind w:left="740"/>
              <w:spacing w:before="75" w:line="189" w:lineRule="auto"/>
              <w:rPr/>
            </w:pPr>
            <w:r>
              <w:rPr>
                <w:color w:val="231F20"/>
                <w:spacing w:val="-9"/>
              </w:rPr>
              <w:t>31.6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043" w:type="dxa"/>
            <w:vAlign w:val="top"/>
          </w:tcPr>
          <w:p>
            <w:pPr>
              <w:pStyle w:val="TableText"/>
              <w:ind w:left="82"/>
              <w:spacing w:before="78" w:line="179" w:lineRule="auto"/>
              <w:rPr/>
            </w:pPr>
            <w:r>
              <w:rPr>
                <w:color w:val="231F20"/>
                <w:spacing w:val="-1"/>
              </w:rPr>
              <w:t>公司信用类债券</w:t>
            </w:r>
          </w:p>
        </w:tc>
        <w:tc>
          <w:tcPr>
            <w:shd w:val="clear" w:fill="D4E5F5"/>
            <w:tcW w:w="1491" w:type="dxa"/>
            <w:vAlign w:val="top"/>
          </w:tcPr>
          <w:p>
            <w:pPr>
              <w:pStyle w:val="TableText"/>
              <w:ind w:left="602"/>
              <w:spacing w:before="75" w:line="189" w:lineRule="auto"/>
              <w:rPr/>
            </w:pPr>
            <w:r>
              <w:rPr>
                <w:color w:val="231F20"/>
                <w:spacing w:val="-11"/>
              </w:rPr>
              <w:t>14.5</w:t>
            </w:r>
          </w:p>
        </w:tc>
        <w:tc>
          <w:tcPr>
            <w:shd w:val="clear" w:fill="D4E5F5"/>
            <w:tcW w:w="1568" w:type="dxa"/>
            <w:vAlign w:val="top"/>
          </w:tcPr>
          <w:p>
            <w:pPr>
              <w:pStyle w:val="TableText"/>
              <w:ind w:left="676"/>
              <w:spacing w:before="75" w:line="189" w:lineRule="auto"/>
              <w:rPr/>
            </w:pPr>
            <w:r>
              <w:rPr>
                <w:color w:val="231F20"/>
                <w:spacing w:val="-7"/>
              </w:rPr>
              <w:t>3.7</w:t>
            </w:r>
          </w:p>
        </w:tc>
        <w:tc>
          <w:tcPr>
            <w:shd w:val="clear" w:fill="D4E5F5"/>
            <w:tcW w:w="1881" w:type="dxa"/>
            <w:vAlign w:val="top"/>
          </w:tcPr>
          <w:p>
            <w:pPr>
              <w:pStyle w:val="TableText"/>
              <w:ind w:left="790"/>
              <w:spacing w:before="75" w:line="189" w:lineRule="auto"/>
              <w:rPr/>
            </w:pPr>
            <w:r>
              <w:rPr>
                <w:color w:val="231F20"/>
                <w:spacing w:val="-9"/>
              </w:rPr>
              <w:t>33.5</w:t>
            </w:r>
          </w:p>
        </w:tc>
        <w:tc>
          <w:tcPr>
            <w:shd w:val="clear" w:fill="D4E5F5"/>
            <w:tcW w:w="1782" w:type="dxa"/>
            <w:vAlign w:val="top"/>
          </w:tcPr>
          <w:p>
            <w:pPr>
              <w:pStyle w:val="TableText"/>
              <w:ind w:left="784"/>
              <w:spacing w:before="75" w:line="189" w:lineRule="auto"/>
              <w:rPr/>
            </w:pPr>
            <w:r>
              <w:rPr>
                <w:color w:val="231F20"/>
                <w:spacing w:val="-7"/>
              </w:rPr>
              <w:t>3.4</w:t>
            </w:r>
          </w:p>
        </w:tc>
      </w:tr>
      <w:tr>
        <w:trPr>
          <w:trHeight w:val="357" w:hRule="atLeast"/>
        </w:trPr>
        <w:tc>
          <w:tcPr>
            <w:shd w:val="clear" w:fill="D4E5F5"/>
            <w:tcW w:w="2043" w:type="dxa"/>
            <w:vAlign w:val="top"/>
          </w:tcPr>
          <w:p>
            <w:pPr>
              <w:pStyle w:val="TableText"/>
              <w:ind w:left="82"/>
              <w:spacing w:before="79" w:line="179" w:lineRule="auto"/>
              <w:rPr/>
            </w:pPr>
            <w:r>
              <w:rPr>
                <w:color w:val="231F20"/>
                <w:spacing w:val="-1"/>
              </w:rPr>
              <w:t>其他</w:t>
            </w:r>
          </w:p>
        </w:tc>
        <w:tc>
          <w:tcPr>
            <w:shd w:val="clear" w:fill="D4E5F5"/>
            <w:tcW w:w="1491" w:type="dxa"/>
            <w:vAlign w:val="top"/>
          </w:tcPr>
          <w:p>
            <w:pPr>
              <w:pStyle w:val="TableText"/>
              <w:ind w:left="632"/>
              <w:spacing w:before="75" w:line="188" w:lineRule="auto"/>
              <w:rPr/>
            </w:pPr>
            <w:r>
              <w:rPr>
                <w:color w:val="231F20"/>
                <w:spacing w:val="-7"/>
              </w:rPr>
              <w:t>0.8</w:t>
            </w:r>
          </w:p>
        </w:tc>
        <w:tc>
          <w:tcPr>
            <w:shd w:val="clear" w:fill="D4E5F5"/>
            <w:tcW w:w="1568" w:type="dxa"/>
            <w:vAlign w:val="top"/>
          </w:tcPr>
          <w:p>
            <w:pPr>
              <w:pStyle w:val="TableText"/>
              <w:ind w:left="673"/>
              <w:spacing w:before="75" w:line="188" w:lineRule="auto"/>
              <w:rPr/>
            </w:pPr>
            <w:r>
              <w:rPr>
                <w:color w:val="231F20"/>
                <w:spacing w:val="-7"/>
              </w:rPr>
              <w:t>9.5</w:t>
            </w:r>
          </w:p>
        </w:tc>
        <w:tc>
          <w:tcPr>
            <w:shd w:val="clear" w:fill="D4E5F5"/>
            <w:tcW w:w="1881" w:type="dxa"/>
            <w:vAlign w:val="top"/>
          </w:tcPr>
          <w:p>
            <w:pPr>
              <w:pStyle w:val="TableText"/>
              <w:ind w:left="846"/>
              <w:spacing w:before="75" w:line="188" w:lineRule="auto"/>
              <w:rPr/>
            </w:pPr>
            <w:r>
              <w:rPr>
                <w:color w:val="231F20"/>
                <w:spacing w:val="-10"/>
              </w:rPr>
              <w:t>1.8</w:t>
            </w:r>
          </w:p>
        </w:tc>
        <w:tc>
          <w:tcPr>
            <w:shd w:val="clear" w:fill="D4E5F5"/>
            <w:tcW w:w="1782" w:type="dxa"/>
            <w:vAlign w:val="top"/>
          </w:tcPr>
          <w:p>
            <w:pPr>
              <w:pStyle w:val="TableText"/>
              <w:ind w:left="690"/>
              <w:spacing w:before="75" w:line="188" w:lineRule="auto"/>
              <w:rPr/>
            </w:pPr>
            <w:r>
              <w:rPr>
                <w:color w:val="231F20"/>
                <w:spacing w:val="-2"/>
              </w:rPr>
              <w:t>-33.1</w:t>
            </w:r>
          </w:p>
        </w:tc>
      </w:tr>
      <w:tr>
        <w:trPr>
          <w:trHeight w:val="362" w:hRule="atLeast"/>
        </w:trPr>
        <w:tc>
          <w:tcPr>
            <w:shd w:val="clear" w:fill="D4E5F5"/>
            <w:tcW w:w="2043" w:type="dxa"/>
            <w:vAlign w:val="top"/>
          </w:tcPr>
          <w:p>
            <w:pPr>
              <w:pStyle w:val="TableText"/>
              <w:ind w:left="82"/>
              <w:spacing w:before="81" w:line="178" w:lineRule="auto"/>
              <w:rPr/>
            </w:pPr>
            <w:r>
              <w:rPr>
                <w:color w:val="231F20"/>
                <w:spacing w:val="-1"/>
              </w:rPr>
              <w:t>合计</w:t>
            </w:r>
          </w:p>
        </w:tc>
        <w:tc>
          <w:tcPr>
            <w:shd w:val="clear" w:fill="D4E5F5"/>
            <w:tcW w:w="1491" w:type="dxa"/>
            <w:vAlign w:val="top"/>
          </w:tcPr>
          <w:p>
            <w:pPr>
              <w:pStyle w:val="TableText"/>
              <w:ind w:left="586"/>
              <w:spacing w:before="77" w:line="190" w:lineRule="auto"/>
              <w:rPr/>
            </w:pPr>
            <w:r>
              <w:rPr>
                <w:color w:val="231F20"/>
                <w:spacing w:val="-8"/>
              </w:rPr>
              <w:t>79.3</w:t>
            </w:r>
          </w:p>
        </w:tc>
        <w:tc>
          <w:tcPr>
            <w:shd w:val="clear" w:fill="D4E5F5"/>
            <w:tcW w:w="1568" w:type="dxa"/>
            <w:vAlign w:val="top"/>
          </w:tcPr>
          <w:p>
            <w:pPr>
              <w:pStyle w:val="TableText"/>
              <w:ind w:left="643"/>
              <w:spacing w:before="77" w:line="190" w:lineRule="auto"/>
              <w:rPr/>
            </w:pPr>
            <w:r>
              <w:rPr>
                <w:color w:val="231F20"/>
                <w:spacing w:val="-11"/>
              </w:rPr>
              <w:t>11.7</w:t>
            </w:r>
          </w:p>
        </w:tc>
        <w:tc>
          <w:tcPr>
            <w:shd w:val="clear" w:fill="D4E5F5"/>
            <w:tcW w:w="1881" w:type="dxa"/>
            <w:vAlign w:val="top"/>
          </w:tcPr>
          <w:p>
            <w:pPr>
              <w:pStyle w:val="TableText"/>
              <w:ind w:left="757"/>
              <w:spacing w:before="77" w:line="190" w:lineRule="auto"/>
              <w:rPr/>
            </w:pPr>
            <w:r>
              <w:rPr>
                <w:color w:val="231F20"/>
                <w:spacing w:val="-11"/>
              </w:rPr>
              <w:t>177.0</w:t>
            </w:r>
          </w:p>
        </w:tc>
        <w:tc>
          <w:tcPr>
            <w:shd w:val="clear" w:fill="D4E5F5"/>
            <w:tcW w:w="1782" w:type="dxa"/>
            <w:vAlign w:val="top"/>
          </w:tcPr>
          <w:p>
            <w:pPr>
              <w:pStyle w:val="TableText"/>
              <w:ind w:left="751"/>
              <w:spacing w:before="77" w:line="190" w:lineRule="auto"/>
              <w:rPr/>
            </w:pPr>
            <w:r>
              <w:rPr>
                <w:color w:val="231F20"/>
                <w:spacing w:val="-11"/>
              </w:rPr>
              <w:t>12.1</w:t>
            </w:r>
          </w:p>
        </w:tc>
      </w:tr>
    </w:tbl>
    <w:p>
      <w:pPr>
        <w:pStyle w:val="BodyText"/>
        <w:spacing w:line="253" w:lineRule="exact"/>
        <w:rPr>
          <w:sz w:val="13"/>
        </w:rPr>
      </w:pPr>
      <w:r/>
    </w:p>
    <w:p>
      <w:pPr>
        <w:spacing w:line="253" w:lineRule="exact"/>
        <w:sectPr>
          <w:type w:val="continuous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>
          <w:sz w:val="13"/>
          <w:szCs w:val="13"/>
        </w:rPr>
      </w:pPr>
    </w:p>
    <w:p>
      <w:pPr>
        <w:pStyle w:val="BodyText"/>
        <w:ind w:left="5" w:right="362" w:firstLine="422"/>
        <w:spacing w:before="47" w:line="249" w:lineRule="auto"/>
        <w:jc w:val="both"/>
        <w:rPr/>
      </w:pPr>
      <w:r>
        <w:rPr>
          <w:color w:val="231F20"/>
          <w:spacing w:val="1"/>
        </w:rPr>
        <w:t>债券市场托管余额同比增长。   截至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rFonts w:ascii="Times New Roman" w:hAnsi="Times New Roman" w:eastAsia="Times New Roman" w:cs="Times New Roman"/>
          <w:color w:val="231F20"/>
          <w:spacing w:val="4"/>
        </w:rPr>
        <w:t xml:space="preserve"> </w:t>
      </w:r>
      <w:r>
        <w:rPr>
          <w:color w:val="231F20"/>
          <w:spacing w:val="5"/>
        </w:rPr>
        <w:t>年末，债券市场托管余额</w:t>
      </w:r>
      <w:r>
        <w:rPr>
          <w:rFonts w:ascii="Times New Roman" w:hAnsi="Times New Roman" w:eastAsia="Times New Roman" w:cs="Times New Roman"/>
          <w:color w:val="231F20"/>
          <w:spacing w:val="5"/>
        </w:rPr>
        <w:t>177.0</w:t>
      </w:r>
      <w:r>
        <w:rPr>
          <w:color w:val="231F20"/>
          <w:spacing w:val="5"/>
        </w:rPr>
        <w:t>万亿元，同比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增长</w:t>
      </w:r>
      <w:r>
        <w:rPr>
          <w:rFonts w:ascii="Times New Roman" w:hAnsi="Times New Roman" w:eastAsia="Times New Roman" w:cs="Times New Roman"/>
          <w:color w:val="231F20"/>
          <w:spacing w:val="2"/>
        </w:rPr>
        <w:t>12.1%</w:t>
      </w:r>
      <w:r>
        <w:rPr>
          <w:color w:val="231F20"/>
          <w:spacing w:val="2"/>
        </w:rPr>
        <w:t>。其中，银行间债券市场托</w:t>
      </w:r>
      <w:r>
        <w:rPr>
          <w:color w:val="231F20"/>
          <w:spacing w:val="1"/>
        </w:rPr>
        <w:t>管余额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155.8</w:t>
      </w:r>
      <w:r>
        <w:rPr>
          <w:color w:val="231F20"/>
          <w:spacing w:val="-1"/>
        </w:rPr>
        <w:t>万亿元，占比</w:t>
      </w:r>
      <w:r>
        <w:rPr>
          <w:rFonts w:ascii="Times New Roman" w:hAnsi="Times New Roman" w:eastAsia="Times New Roman" w:cs="Times New Roman"/>
          <w:color w:val="231F20"/>
          <w:spacing w:val="-1"/>
        </w:rPr>
        <w:t>88.0%</w:t>
      </w:r>
      <w:r>
        <w:rPr>
          <w:color w:val="231F20"/>
          <w:spacing w:val="-1"/>
        </w:rPr>
        <w:t>，交易所债券市场托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3"/>
        </w:rPr>
        <w:t>管余额</w:t>
      </w:r>
      <w:r>
        <w:rPr>
          <w:rFonts w:ascii="Times New Roman" w:hAnsi="Times New Roman" w:eastAsia="Times New Roman" w:cs="Times New Roman"/>
          <w:color w:val="231F20"/>
          <w:spacing w:val="-3"/>
        </w:rPr>
        <w:t>21.2</w:t>
      </w:r>
      <w:r>
        <w:rPr>
          <w:color w:val="231F20"/>
          <w:spacing w:val="-3"/>
        </w:rPr>
        <w:t>万亿元。</w:t>
      </w:r>
    </w:p>
    <w:p>
      <w:pPr>
        <w:pStyle w:val="BodyText"/>
        <w:ind w:left="5" w:right="361" w:firstLine="424"/>
        <w:spacing w:before="4" w:line="249" w:lineRule="auto"/>
        <w:jc w:val="both"/>
        <w:rPr/>
      </w:pPr>
      <w:r>
        <w:rPr>
          <w:color w:val="231F20"/>
          <w:spacing w:val="4"/>
        </w:rPr>
        <w:t>现券交易量上升。</w:t>
      </w:r>
      <w:r>
        <w:rPr>
          <w:color w:val="231F20"/>
          <w:spacing w:val="4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2024</w:t>
      </w:r>
      <w:r>
        <w:rPr>
          <w:color w:val="231F20"/>
          <w:spacing w:val="4"/>
        </w:rPr>
        <w:t>年，银行间债券</w:t>
      </w:r>
      <w:r>
        <w:rPr>
          <w:color w:val="231F20"/>
        </w:rPr>
        <w:t xml:space="preserve"> </w:t>
      </w:r>
      <w:r>
        <w:rPr>
          <w:color w:val="231F20"/>
        </w:rPr>
        <w:t>市场现券成交</w:t>
      </w:r>
      <w:r>
        <w:rPr>
          <w:rFonts w:ascii="Times New Roman" w:hAnsi="Times New Roman" w:eastAsia="Times New Roman" w:cs="Times New Roman"/>
          <w:color w:val="231F20"/>
        </w:rPr>
        <w:t>377.8</w:t>
      </w:r>
      <w:r>
        <w:rPr>
          <w:color w:val="231F20"/>
        </w:rPr>
        <w:t>万亿元，同比增长</w:t>
      </w:r>
      <w:r>
        <w:rPr>
          <w:rFonts w:ascii="Times New Roman" w:hAnsi="Times New Roman" w:eastAsia="Times New Roman" w:cs="Times New Roman"/>
          <w:color w:val="231F20"/>
        </w:rPr>
        <w:t>2</w:t>
      </w:r>
      <w:r>
        <w:rPr>
          <w:rFonts w:ascii="Times New Roman" w:hAnsi="Times New Roman" w:eastAsia="Times New Roman" w:cs="Times New Roman"/>
          <w:color w:val="231F20"/>
          <w:spacing w:val="-1"/>
        </w:rPr>
        <w:t>3.0%</w:t>
      </w:r>
      <w:r>
        <w:rPr>
          <w:color w:val="231F20"/>
          <w:spacing w:val="-1"/>
        </w:rPr>
        <w:t>，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日均成交</w:t>
      </w:r>
      <w:r>
        <w:rPr>
          <w:rFonts w:ascii="Times New Roman" w:hAnsi="Times New Roman" w:eastAsia="Times New Roman" w:cs="Times New Roman"/>
          <w:color w:val="231F20"/>
          <w:spacing w:val="5"/>
        </w:rPr>
        <w:t>15053.8</w:t>
      </w:r>
      <w:r>
        <w:rPr>
          <w:color w:val="231F20"/>
          <w:spacing w:val="5"/>
        </w:rPr>
        <w:t>亿元。交易所债券市场现券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4"/>
        </w:rPr>
        <w:t>成交</w:t>
      </w:r>
      <w:r>
        <w:rPr>
          <w:rFonts w:ascii="Times New Roman" w:hAnsi="Times New Roman" w:eastAsia="Times New Roman" w:cs="Times New Roman"/>
          <w:color w:val="231F20"/>
          <w:spacing w:val="4"/>
        </w:rPr>
        <w:t>41.7</w:t>
      </w:r>
      <w:r>
        <w:rPr>
          <w:color w:val="231F20"/>
          <w:spacing w:val="4"/>
        </w:rPr>
        <w:t>万亿元，同比减少</w:t>
      </w:r>
      <w:r>
        <w:rPr>
          <w:rFonts w:ascii="Times New Roman" w:hAnsi="Times New Roman" w:eastAsia="Times New Roman" w:cs="Times New Roman"/>
          <w:color w:val="231F20"/>
          <w:spacing w:val="4"/>
        </w:rPr>
        <w:t>10.1%</w:t>
      </w:r>
      <w:r>
        <w:rPr>
          <w:color w:val="231F20"/>
          <w:spacing w:val="4"/>
        </w:rPr>
        <w:t>，日</w:t>
      </w:r>
      <w:r>
        <w:rPr>
          <w:color w:val="231F20"/>
          <w:spacing w:val="3"/>
        </w:rPr>
        <w:t>均成交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5"/>
        </w:rPr>
        <w:t>1724.4</w:t>
      </w:r>
      <w:r>
        <w:rPr>
          <w:color w:val="231F20"/>
          <w:spacing w:val="5"/>
        </w:rPr>
        <w:t>亿元。柜台债券累计成交</w:t>
      </w:r>
      <w:r>
        <w:rPr>
          <w:rFonts w:ascii="Times New Roman" w:hAnsi="Times New Roman" w:eastAsia="Times New Roman" w:cs="Times New Roman"/>
          <w:color w:val="231F20"/>
          <w:spacing w:val="5"/>
        </w:rPr>
        <w:t>101.7</w:t>
      </w:r>
      <w:r>
        <w:rPr>
          <w:color w:val="231F20"/>
          <w:spacing w:val="5"/>
        </w:rPr>
        <w:t>万笔，</w:t>
      </w:r>
      <w:r>
        <w:rPr>
          <w:color w:val="231F20"/>
          <w:spacing w:val="3"/>
        </w:rPr>
        <w:t xml:space="preserve">  </w:t>
      </w:r>
      <w:r>
        <w:rPr>
          <w:color w:val="231F20"/>
          <w:spacing w:val="-2"/>
        </w:rPr>
        <w:t>成交金额</w:t>
      </w:r>
      <w:r>
        <w:rPr>
          <w:rFonts w:ascii="Times New Roman" w:hAnsi="Times New Roman" w:eastAsia="Times New Roman" w:cs="Times New Roman"/>
          <w:color w:val="231F20"/>
          <w:spacing w:val="-2"/>
        </w:rPr>
        <w:t>5349.0</w:t>
      </w:r>
      <w:r>
        <w:rPr>
          <w:color w:val="231F20"/>
          <w:spacing w:val="-2"/>
        </w:rPr>
        <w:t>亿元。</w:t>
      </w:r>
    </w:p>
    <w:p>
      <w:pPr>
        <w:pStyle w:val="BodyText"/>
        <w:ind w:left="4" w:right="392" w:firstLine="440"/>
        <w:spacing w:before="5" w:line="249" w:lineRule="auto"/>
        <w:jc w:val="both"/>
        <w:rPr/>
      </w:pPr>
      <w:r>
        <w:pict>
          <v:shape id="_x0000_s146" style="position:absolute;margin-left:0.250099pt;margin-top:68.6421pt;mso-position-vertical-relative:text;mso-position-horizontal-relative:text;width:90.75pt;height:0.5pt;z-index:252130304;" filled="false" strokecolor="#231F20" strokeweight="0.50pt" coordsize="1815,10" coordorigin="0,0" path="m0,5l1814,5e">
            <v:stroke joinstyle="miter" miterlimit="10"/>
          </v:shape>
        </w:pict>
      </w:r>
      <w:r>
        <w:rPr>
          <w:color w:val="231F20"/>
          <w:spacing w:val="7"/>
        </w:rPr>
        <w:t>国债收益率整体下行，期限利差走阔。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2"/>
        </w:rPr>
        <w:t>2024</w:t>
      </w:r>
      <w:r>
        <w:rPr>
          <w:color w:val="231F20"/>
          <w:spacing w:val="-2"/>
        </w:rPr>
        <w:t>年末， </w:t>
      </w:r>
      <w:r>
        <w:rPr>
          <w:rFonts w:ascii="Times New Roman" w:hAnsi="Times New Roman" w:eastAsia="Times New Roman" w:cs="Times New Roman"/>
          <w:color w:val="231F20"/>
          <w:spacing w:val="-2"/>
        </w:rPr>
        <w:t>1</w:t>
      </w:r>
      <w:r>
        <w:rPr>
          <w:color w:val="231F20"/>
          <w:spacing w:val="-2"/>
        </w:rPr>
        <w:t>年期、 </w:t>
      </w:r>
      <w:r>
        <w:rPr>
          <w:rFonts w:ascii="Times New Roman" w:hAnsi="Times New Roman" w:eastAsia="Times New Roman" w:cs="Times New Roman"/>
          <w:color w:val="231F20"/>
          <w:spacing w:val="-2"/>
        </w:rPr>
        <w:t>3</w:t>
      </w:r>
      <w:r>
        <w:rPr>
          <w:color w:val="231F20"/>
          <w:spacing w:val="-2"/>
        </w:rPr>
        <w:t>年期、 </w:t>
      </w:r>
      <w:r>
        <w:rPr>
          <w:rFonts w:ascii="Times New Roman" w:hAnsi="Times New Roman" w:eastAsia="Times New Roman" w:cs="Times New Roman"/>
          <w:color w:val="231F20"/>
          <w:spacing w:val="-2"/>
        </w:rPr>
        <w:t>5</w:t>
      </w:r>
      <w:r>
        <w:rPr>
          <w:color w:val="231F20"/>
          <w:spacing w:val="-2"/>
        </w:rPr>
        <w:t>年期、 </w:t>
      </w:r>
      <w:r>
        <w:rPr>
          <w:rFonts w:ascii="Times New Roman" w:hAnsi="Times New Roman" w:eastAsia="Times New Roman" w:cs="Times New Roman"/>
          <w:color w:val="231F20"/>
          <w:spacing w:val="-2"/>
        </w:rPr>
        <w:t>7</w:t>
      </w:r>
      <w:r>
        <w:rPr>
          <w:color w:val="231F20"/>
          <w:spacing w:val="-2"/>
        </w:rPr>
        <w:t>年期、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7"/>
        </w:rPr>
        <w:t>10</w:t>
      </w:r>
      <w:r>
        <w:rPr>
          <w:color w:val="231F20"/>
          <w:spacing w:val="7"/>
        </w:rPr>
        <w:t>年期国债收益率分别为</w:t>
      </w:r>
      <w:r>
        <w:rPr>
          <w:rFonts w:ascii="Times New Roman" w:hAnsi="Times New Roman" w:eastAsia="Times New Roman" w:cs="Times New Roman"/>
          <w:color w:val="231F20"/>
          <w:spacing w:val="7"/>
        </w:rPr>
        <w:t>1.08%</w:t>
      </w:r>
      <w:r>
        <w:rPr>
          <w:rFonts w:ascii="Times New Roman" w:hAnsi="Times New Roman" w:eastAsia="Times New Roman" w:cs="Times New Roman"/>
          <w:color w:val="231F20"/>
          <w:spacing w:val="5"/>
        </w:rPr>
        <w:t xml:space="preserve"> </w:t>
      </w:r>
      <w:r>
        <w:rPr>
          <w:color w:val="231F20"/>
          <w:spacing w:val="7"/>
        </w:rPr>
        <w:t>、 </w:t>
      </w:r>
      <w:r>
        <w:rPr>
          <w:rFonts w:ascii="Times New Roman" w:hAnsi="Times New Roman" w:eastAsia="Times New Roman" w:cs="Times New Roman"/>
          <w:color w:val="231F20"/>
          <w:spacing w:val="7"/>
        </w:rPr>
        <w:t>1.19%</w:t>
      </w:r>
      <w:r>
        <w:rPr>
          <w:rFonts w:ascii="Times New Roman" w:hAnsi="Times New Roman" w:eastAsia="Times New Roman" w:cs="Times New Roman"/>
          <w:color w:val="231F20"/>
          <w:spacing w:val="-23"/>
        </w:rPr>
        <w:t xml:space="preserve"> </w:t>
      </w:r>
      <w:r>
        <w:rPr>
          <w:color w:val="231F20"/>
          <w:spacing w:val="7"/>
        </w:rPr>
        <w:t>、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6" w:right="1"/>
        <w:spacing w:before="42" w:line="262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-4"/>
        </w:rPr>
        <w:t>1.42%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-4"/>
        </w:rPr>
        <w:t>、</w:t>
      </w:r>
      <w:r>
        <w:rPr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4"/>
        </w:rPr>
        <w:t>1.59%</w:t>
      </w:r>
      <w:r>
        <w:rPr>
          <w:rFonts w:ascii="Times New Roman" w:hAnsi="Times New Roman" w:eastAsia="Times New Roman" w:cs="Times New Roman"/>
          <w:color w:val="231F20"/>
          <w:spacing w:val="-27"/>
        </w:rPr>
        <w:t xml:space="preserve"> </w:t>
      </w:r>
      <w:r>
        <w:rPr>
          <w:color w:val="231F20"/>
          <w:spacing w:val="-4"/>
        </w:rPr>
        <w:t>、</w:t>
      </w:r>
      <w:r>
        <w:rPr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4"/>
        </w:rPr>
        <w:t>1.68%</w:t>
      </w:r>
      <w:r>
        <w:rPr>
          <w:color w:val="231F20"/>
          <w:spacing w:val="-4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-4"/>
        </w:rPr>
        <w:t>4</w:t>
      </w:r>
      <w:r>
        <w:rPr>
          <w:color w:val="231F20"/>
          <w:spacing w:val="-4"/>
        </w:rPr>
        <w:t>-</w:t>
      </w:r>
      <w:r>
        <w:rPr>
          <w:rFonts w:ascii="Times New Roman" w:hAnsi="Times New Roman" w:eastAsia="Times New Roman" w:cs="Times New Roman"/>
          <w:color w:val="231F20"/>
          <w:spacing w:val="-4"/>
        </w:rPr>
        <w:t>2</w:t>
      </w:r>
      <w:r>
        <w:rPr>
          <w:color w:val="231F20"/>
          <w:spacing w:val="-4"/>
        </w:rPr>
        <w:t>）。</w:t>
      </w:r>
      <w:r>
        <w:rPr>
          <w:color w:val="231F20"/>
          <w:spacing w:val="-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4"/>
        </w:rPr>
        <w:t>1</w:t>
      </w:r>
      <w:r>
        <w:rPr>
          <w:color w:val="231F20"/>
          <w:spacing w:val="-4"/>
        </w:rPr>
        <w:t>年期和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7"/>
        </w:rPr>
        <w:t>10</w:t>
      </w:r>
      <w:r>
        <w:rPr>
          <w:color w:val="231F20"/>
          <w:spacing w:val="7"/>
        </w:rPr>
        <w:t>年期国债利差为</w:t>
      </w:r>
      <w:r>
        <w:rPr>
          <w:rFonts w:ascii="Times New Roman" w:hAnsi="Times New Roman" w:eastAsia="Times New Roman" w:cs="Times New Roman"/>
          <w:color w:val="231F20"/>
          <w:spacing w:val="7"/>
        </w:rPr>
        <w:t>60</w:t>
      </w:r>
      <w:r>
        <w:rPr>
          <w:color w:val="231F20"/>
          <w:spacing w:val="7"/>
        </w:rPr>
        <w:t>个基点，较上年末走阔</w:t>
      </w:r>
      <w:r>
        <w:rPr>
          <w:color w:val="231F20"/>
          <w:spacing w:val="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8"/>
        </w:rPr>
        <w:t>12</w:t>
      </w:r>
      <w:r>
        <w:rPr>
          <w:color w:val="231F20"/>
          <w:spacing w:val="-8"/>
        </w:rPr>
        <w:t>个基点。</w:t>
      </w:r>
    </w:p>
    <w:p>
      <w:pPr>
        <w:ind w:left="239"/>
        <w:spacing w:before="220" w:line="182" w:lineRule="auto"/>
        <w:rPr>
          <w:rFonts w:ascii="DejaVu Sans" w:hAnsi="DejaVu Sans" w:eastAsia="DejaVu Sans" w:cs="DejaVu Sans"/>
          <w:sz w:val="11"/>
          <w:szCs w:val="11"/>
        </w:rPr>
      </w:pPr>
      <w:r>
        <w:rPr>
          <w:rFonts w:ascii="DejaVu Sans" w:hAnsi="DejaVu Sans" w:eastAsia="DejaVu Sans" w:cs="DejaVu Sans"/>
          <w:sz w:val="11"/>
          <w:szCs w:val="11"/>
          <w:color w:val="8D313C"/>
          <w:spacing w:val="4"/>
        </w:rPr>
        <w:t>—</w:t>
      </w:r>
      <w:r>
        <w:rPr>
          <w:rFonts w:ascii="DejaVu Sans" w:hAnsi="DejaVu Sans" w:eastAsia="DejaVu Sans" w:cs="DejaVu Sans"/>
          <w:sz w:val="11"/>
          <w:szCs w:val="11"/>
          <w:color w:val="8D313C"/>
          <w:spacing w:val="-19"/>
        </w:rPr>
        <w:t xml:space="preserve"> 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4"/>
        </w:rPr>
        <w:t>2023/12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14"/>
        </w:rPr>
        <w:t xml:space="preserve">  </w:t>
      </w:r>
      <w:r>
        <w:rPr>
          <w:rFonts w:ascii="DejaVu Sans" w:hAnsi="DejaVu Sans" w:eastAsia="DejaVu Sans" w:cs="DejaVu Sans"/>
          <w:sz w:val="11"/>
          <w:szCs w:val="11"/>
          <w:color w:val="3E6089"/>
          <w:spacing w:val="4"/>
        </w:rPr>
        <w:t>—</w:t>
      </w:r>
      <w:r>
        <w:rPr>
          <w:rFonts w:ascii="DejaVu Sans" w:hAnsi="DejaVu Sans" w:eastAsia="DejaVu Sans" w:cs="DejaVu Sans"/>
          <w:sz w:val="11"/>
          <w:szCs w:val="11"/>
          <w:color w:val="3E6089"/>
          <w:spacing w:val="-22"/>
        </w:rPr>
        <w:t xml:space="preserve"> 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4"/>
        </w:rPr>
        <w:t>2024/3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12"/>
        </w:rPr>
        <w:t xml:space="preserve">  </w:t>
      </w:r>
      <w:r>
        <w:rPr>
          <w:sz w:val="11"/>
          <w:szCs w:val="11"/>
          <w:position w:val="2"/>
        </w:rPr>
        <w:drawing>
          <wp:inline distT="0" distB="0" distL="0" distR="0">
            <wp:extent cx="99415" cy="12700"/>
            <wp:effectExtent l="0" t="0" r="0" b="0"/>
            <wp:docPr id="394" name="IM 394"/>
            <wp:cNvGraphicFramePr/>
            <a:graphic>
              <a:graphicData uri="http://schemas.openxmlformats.org/drawingml/2006/picture">
                <pic:pic>
                  <pic:nvPicPr>
                    <pic:cNvPr id="394" name="IM 39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15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1"/>
          <w:szCs w:val="11"/>
          <w:color w:val="231F20"/>
          <w:spacing w:val="21"/>
          <w:w w:val="101"/>
        </w:rPr>
        <w:t xml:space="preserve"> 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4"/>
        </w:rPr>
        <w:t>2024/6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12"/>
        </w:rPr>
        <w:t xml:space="preserve">  </w:t>
      </w:r>
      <w:r>
        <w:rPr>
          <w:rFonts w:ascii="DejaVu Sans" w:hAnsi="DejaVu Sans" w:eastAsia="DejaVu Sans" w:cs="DejaVu Sans"/>
          <w:sz w:val="11"/>
          <w:szCs w:val="11"/>
          <w:color w:val="A88368"/>
          <w:spacing w:val="4"/>
        </w:rPr>
        <w:t>—</w:t>
      </w:r>
      <w:r>
        <w:rPr>
          <w:rFonts w:ascii="DejaVu Sans" w:hAnsi="DejaVu Sans" w:eastAsia="DejaVu Sans" w:cs="DejaVu Sans"/>
          <w:sz w:val="11"/>
          <w:szCs w:val="11"/>
          <w:color w:val="A88368"/>
          <w:spacing w:val="-22"/>
        </w:rPr>
        <w:t xml:space="preserve"> 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4"/>
        </w:rPr>
        <w:t>2024/9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4"/>
        </w:rPr>
        <w:t xml:space="preserve">  </w:t>
      </w:r>
      <w:r>
        <w:rPr>
          <w:rFonts w:ascii="DejaVu Sans" w:hAnsi="DejaVu Sans" w:eastAsia="DejaVu Sans" w:cs="DejaVu Sans"/>
          <w:sz w:val="11"/>
          <w:szCs w:val="11"/>
          <w:color w:val="537933"/>
          <w:spacing w:val="4"/>
        </w:rPr>
        <w:t>—</w:t>
      </w:r>
      <w:r>
        <w:rPr>
          <w:rFonts w:ascii="DejaVu Sans" w:hAnsi="DejaVu Sans" w:eastAsia="DejaVu Sans" w:cs="DejaVu Sans"/>
          <w:sz w:val="11"/>
          <w:szCs w:val="11"/>
          <w:color w:val="537933"/>
          <w:spacing w:val="-9"/>
        </w:rPr>
        <w:t xml:space="preserve"> 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3"/>
        </w:rPr>
        <w:t>2024/12</w:t>
      </w:r>
    </w:p>
    <w:p>
      <w:pPr>
        <w:pStyle w:val="BodyText"/>
        <w:spacing w:line="251" w:lineRule="auto"/>
        <w:rPr/>
      </w:pPr>
      <w:r>
        <w:drawing>
          <wp:anchor distT="0" distB="0" distL="0" distR="0" simplePos="0" relativeHeight="252129280" behindDoc="0" locked="0" layoutInCell="1" allowOverlap="1">
            <wp:simplePos x="0" y="0"/>
            <wp:positionH relativeFrom="column">
              <wp:posOffset>17675</wp:posOffset>
            </wp:positionH>
            <wp:positionV relativeFrom="paragraph">
              <wp:posOffset>25986</wp:posOffset>
            </wp:positionV>
            <wp:extent cx="2297466" cy="1443469"/>
            <wp:effectExtent l="0" t="0" r="0" b="0"/>
            <wp:wrapNone/>
            <wp:docPr id="396" name="IM 396"/>
            <wp:cNvGraphicFramePr/>
            <a:graphic>
              <a:graphicData uri="http://schemas.openxmlformats.org/drawingml/2006/picture">
                <pic:pic>
                  <pic:nvPicPr>
                    <pic:cNvPr id="396" name="IM 396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297466" cy="144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spacing w:line="252" w:lineRule="auto"/>
        <w:rPr/>
      </w:pPr>
      <w:r/>
    </w:p>
    <w:p>
      <w:pPr>
        <w:pStyle w:val="BodyText"/>
        <w:ind w:left="3662"/>
        <w:spacing w:before="63" w:line="131" w:lineRule="exact"/>
        <w:rPr>
          <w:sz w:val="13"/>
          <w:szCs w:val="13"/>
        </w:rPr>
      </w:pPr>
      <w:r>
        <w:rPr>
          <w:sz w:val="13"/>
          <w:szCs w:val="13"/>
          <w:color w:val="231F20"/>
          <w:spacing w:val="14"/>
        </w:rPr>
        <w:t>限</w:t>
      </w:r>
      <w:r>
        <w:rPr>
          <w:sz w:val="13"/>
          <w:szCs w:val="13"/>
          <w:color w:val="231F20"/>
          <w:spacing w:val="27"/>
        </w:rPr>
        <w:t xml:space="preserve"> </w:t>
      </w:r>
      <w:r>
        <w:rPr>
          <w:sz w:val="13"/>
          <w:szCs w:val="13"/>
          <w:color w:val="231F20"/>
          <w:spacing w:val="14"/>
        </w:rPr>
        <w:t>(年)</w:t>
      </w:r>
    </w:p>
    <w:p>
      <w:pPr>
        <w:pStyle w:val="BodyText"/>
        <w:ind w:left="321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图4-2    银行间市场国债收益率曲线变化情况</w:t>
      </w:r>
    </w:p>
    <w:p>
      <w:pPr>
        <w:pStyle w:val="BodyText"/>
        <w:ind w:left="897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（数据来源：中央结算公司）</w:t>
      </w:r>
    </w:p>
    <w:p>
      <w:pPr>
        <w:pStyle w:val="BodyText"/>
        <w:ind w:right="1" w:firstLine="419"/>
        <w:spacing w:before="305" w:line="256" w:lineRule="auto"/>
        <w:rPr/>
      </w:pPr>
      <w:r>
        <w:rPr>
          <w:color w:val="231F20"/>
          <w:spacing w:val="14"/>
        </w:rPr>
        <w:t>对外开放水平进一步提升。  截至</w:t>
      </w:r>
      <w:r>
        <w:rPr>
          <w:rFonts w:ascii="Times New Roman" w:hAnsi="Times New Roman" w:eastAsia="Times New Roman" w:cs="Times New Roman"/>
          <w:color w:val="231F20"/>
          <w:spacing w:val="14"/>
        </w:rPr>
        <w:t>2024</w:t>
      </w:r>
      <w:r>
        <w:rPr>
          <w:rFonts w:ascii="Times New Roman" w:hAnsi="Times New Roman" w:eastAsia="Times New Roman" w:cs="Times New Roman"/>
          <w:color w:val="231F20"/>
          <w:spacing w:val="4"/>
        </w:rPr>
        <w:t xml:space="preserve"> </w:t>
      </w:r>
      <w:r>
        <w:rPr>
          <w:color w:val="231F20"/>
          <w:spacing w:val="8"/>
        </w:rPr>
        <w:t>年末，共有</w:t>
      </w:r>
      <w:r>
        <w:rPr>
          <w:rFonts w:ascii="Times New Roman" w:hAnsi="Times New Roman" w:eastAsia="Times New Roman" w:cs="Times New Roman"/>
          <w:color w:val="231F20"/>
          <w:spacing w:val="8"/>
        </w:rPr>
        <w:t>1156</w:t>
      </w:r>
      <w:r>
        <w:rPr>
          <w:color w:val="231F20"/>
          <w:spacing w:val="8"/>
        </w:rPr>
        <w:t>家境外机构进入中国债券市</w:t>
      </w:r>
    </w:p>
    <w:p>
      <w:pPr>
        <w:spacing w:line="256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9" w:space="100"/>
            <w:col w:w="4161" w:space="0"/>
          </w:cols>
        </w:sectPr>
        <w:rPr/>
      </w:pPr>
    </w:p>
    <w:p>
      <w:pPr>
        <w:pStyle w:val="BodyText"/>
        <w:ind w:left="342"/>
        <w:spacing w:before="243" w:line="157" w:lineRule="exact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position w:val="-1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1"/>
          <w:position w:val="-1"/>
        </w:rPr>
        <w:t xml:space="preserve"> </w:t>
      </w:r>
      <w:r>
        <w:rPr>
          <w:sz w:val="16"/>
          <w:szCs w:val="16"/>
          <w:color w:val="231F20"/>
          <w:position w:val="-1"/>
        </w:rPr>
        <w:t>公司信用类债券包含非金融企业债务融资工具、资产支持票据、企业债券、公司债券、交易所资产支持证券等。</w:t>
      </w:r>
    </w:p>
    <w:p>
      <w:pPr>
        <w:spacing w:line="157" w:lineRule="exact"/>
        <w:sectPr>
          <w:type w:val="continuous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>
          <w:sz w:val="16"/>
          <w:szCs w:val="16"/>
        </w:rPr>
      </w:pPr>
    </w:p>
    <w:p>
      <w:pPr>
        <w:spacing w:before="155"/>
        <w:rPr/>
      </w:pPr>
      <w:r/>
    </w:p>
    <w:p>
      <w:pPr>
        <w:sectPr>
          <w:headerReference w:type="default" r:id="rId199"/>
          <w:pgSz w:w="11906" w:h="16158"/>
          <w:pgMar w:top="1383" w:right="1415" w:bottom="400" w:left="1703" w:header="1060" w:footer="0" w:gutter="0"/>
          <w:cols w:equalWidth="0" w:num="1">
            <w:col w:w="8787" w:space="0"/>
          </w:cols>
        </w:sectPr>
        <w:rPr/>
      </w:pPr>
    </w:p>
    <w:p>
      <w:pPr>
        <w:pStyle w:val="BodyText"/>
        <w:ind w:right="356" w:firstLine="4"/>
        <w:spacing w:before="39" w:line="254" w:lineRule="auto"/>
        <w:rPr/>
      </w:pPr>
      <w:r>
        <w:rPr>
          <w:color w:val="231F20"/>
          <w:spacing w:val="17"/>
        </w:rPr>
        <w:t>场，同比增长</w:t>
      </w:r>
      <w:r>
        <w:rPr>
          <w:rFonts w:ascii="Times New Roman" w:hAnsi="Times New Roman" w:eastAsia="Times New Roman" w:cs="Times New Roman"/>
          <w:color w:val="231F20"/>
          <w:spacing w:val="17"/>
        </w:rPr>
        <w:t>2.8%</w:t>
      </w:r>
      <w:r>
        <w:rPr>
          <w:color w:val="231F20"/>
          <w:spacing w:val="17"/>
        </w:rPr>
        <w:t>，持有中国债券总量为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4.2</w:t>
      </w:r>
      <w:r>
        <w:rPr>
          <w:color w:val="231F20"/>
          <w:spacing w:val="3"/>
        </w:rPr>
        <w:t>万亿元人民币，较上年末增加</w:t>
      </w:r>
      <w:r>
        <w:rPr>
          <w:rFonts w:ascii="Times New Roman" w:hAnsi="Times New Roman" w:eastAsia="Times New Roman" w:cs="Times New Roman"/>
          <w:color w:val="231F20"/>
          <w:spacing w:val="3"/>
        </w:rPr>
        <w:t>4826</w:t>
      </w:r>
      <w:r>
        <w:rPr>
          <w:color w:val="231F20"/>
          <w:spacing w:val="3"/>
        </w:rPr>
        <w:t>亿元，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16"/>
        </w:rPr>
        <w:t>占中国债券市场托管余额的比重为</w:t>
      </w:r>
      <w:r>
        <w:rPr>
          <w:rFonts w:ascii="Times New Roman" w:hAnsi="Times New Roman" w:eastAsia="Times New Roman" w:cs="Times New Roman"/>
          <w:color w:val="231F20"/>
          <w:spacing w:val="16"/>
        </w:rPr>
        <w:t>2.4%</w:t>
      </w:r>
      <w:r>
        <w:rPr>
          <w:rFonts w:ascii="Times New Roman" w:hAnsi="Times New Roman" w:eastAsia="Times New Roman" w:cs="Times New Roman"/>
          <w:color w:val="231F20"/>
          <w:spacing w:val="-6"/>
        </w:rPr>
        <w:t xml:space="preserve"> </w:t>
      </w:r>
      <w:r>
        <w:rPr>
          <w:color w:val="231F20"/>
          <w:spacing w:val="16"/>
        </w:rPr>
        <w:t>。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其中，境外机构在银行间债券市场的托管余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2"/>
        </w:rPr>
        <w:t>额为</w:t>
      </w:r>
      <w:r>
        <w:rPr>
          <w:rFonts w:ascii="Times New Roman" w:hAnsi="Times New Roman" w:eastAsia="Times New Roman" w:cs="Times New Roman"/>
          <w:color w:val="231F20"/>
          <w:spacing w:val="12"/>
        </w:rPr>
        <w:t>4.16</w:t>
      </w:r>
      <w:r>
        <w:rPr>
          <w:color w:val="231F20"/>
          <w:spacing w:val="12"/>
        </w:rPr>
        <w:t>万亿元，分别持有国债</w:t>
      </w:r>
      <w:r>
        <w:rPr>
          <w:rFonts w:ascii="Times New Roman" w:hAnsi="Times New Roman" w:eastAsia="Times New Roman" w:cs="Times New Roman"/>
          <w:color w:val="231F20"/>
          <w:spacing w:val="12"/>
        </w:rPr>
        <w:t>2.06</w:t>
      </w:r>
      <w:r>
        <w:rPr>
          <w:color w:val="231F20"/>
          <w:spacing w:val="12"/>
        </w:rPr>
        <w:t>万亿元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（占比</w:t>
      </w:r>
      <w:r>
        <w:rPr>
          <w:rFonts w:ascii="Times New Roman" w:hAnsi="Times New Roman" w:eastAsia="Times New Roman" w:cs="Times New Roman"/>
          <w:color w:val="231F20"/>
          <w:spacing w:val="4"/>
        </w:rPr>
        <w:t>49.5%</w:t>
      </w:r>
      <w:r>
        <w:rPr>
          <w:color w:val="231F20"/>
          <w:spacing w:val="6"/>
        </w:rPr>
        <w:t>），</w:t>
      </w:r>
      <w:r>
        <w:rPr>
          <w:color w:val="231F20"/>
          <w:spacing w:val="4"/>
        </w:rPr>
        <w:t>同业存单</w:t>
      </w:r>
      <w:r>
        <w:rPr>
          <w:rFonts w:ascii="Times New Roman" w:hAnsi="Times New Roman" w:eastAsia="Times New Roman" w:cs="Times New Roman"/>
          <w:color w:val="231F20"/>
          <w:spacing w:val="4"/>
        </w:rPr>
        <w:t>1.04</w:t>
      </w:r>
      <w:r>
        <w:rPr>
          <w:color w:val="231F20"/>
          <w:spacing w:val="4"/>
        </w:rPr>
        <w:t>万亿元（占比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3"/>
        </w:rPr>
        <w:t>25.0%</w:t>
      </w:r>
      <w:r>
        <w:rPr>
          <w:color w:val="231F20"/>
          <w:spacing w:val="20"/>
        </w:rPr>
        <w:t>），</w:t>
      </w:r>
      <w:r>
        <w:rPr>
          <w:color w:val="231F20"/>
          <w:spacing w:val="13"/>
        </w:rPr>
        <w:t>政策性银行债</w:t>
      </w:r>
      <w:r>
        <w:rPr>
          <w:rFonts w:ascii="Times New Roman" w:hAnsi="Times New Roman" w:eastAsia="Times New Roman" w:cs="Times New Roman"/>
          <w:color w:val="231F20"/>
          <w:spacing w:val="13"/>
        </w:rPr>
        <w:t>0.88</w:t>
      </w:r>
      <w:r>
        <w:rPr>
          <w:color w:val="231F20"/>
          <w:spacing w:val="13"/>
        </w:rPr>
        <w:t>万亿元（占比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3"/>
        </w:rPr>
        <w:t>21.2%</w:t>
      </w:r>
      <w:r>
        <w:rPr>
          <w:color w:val="231F20"/>
          <w:spacing w:val="-3"/>
        </w:rPr>
        <w:t>）。</w:t>
      </w:r>
    </w:p>
    <w:p>
      <w:pPr>
        <w:pStyle w:val="BodyText"/>
        <w:ind w:left="415"/>
        <w:spacing w:before="109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（四）股票市场</w:t>
      </w:r>
    </w:p>
    <w:p>
      <w:pPr>
        <w:pStyle w:val="BodyText"/>
        <w:ind w:left="3" w:right="357" w:firstLine="425"/>
        <w:spacing w:before="239" w:line="255" w:lineRule="auto"/>
        <w:rPr/>
      </w:pPr>
      <w:r>
        <w:rPr>
          <w:color w:val="231F20"/>
          <w:spacing w:val="4"/>
        </w:rPr>
        <w:t>股票市场整体上行。</w:t>
      </w:r>
      <w:r>
        <w:rPr>
          <w:color w:val="231F20"/>
          <w:spacing w:val="4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2024</w:t>
      </w:r>
      <w:r>
        <w:rPr>
          <w:color w:val="231F20"/>
          <w:spacing w:val="4"/>
        </w:rPr>
        <w:t>年末，上证综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指收于</w:t>
      </w:r>
      <w:r>
        <w:rPr>
          <w:rFonts w:ascii="Times New Roman" w:hAnsi="Times New Roman" w:eastAsia="Times New Roman" w:cs="Times New Roman"/>
          <w:color w:val="231F20"/>
          <w:spacing w:val="4"/>
        </w:rPr>
        <w:t>3351.8</w:t>
      </w:r>
      <w:r>
        <w:rPr>
          <w:color w:val="231F20"/>
          <w:spacing w:val="4"/>
        </w:rPr>
        <w:t>点，较上年末上涨</w:t>
      </w:r>
      <w:r>
        <w:rPr>
          <w:rFonts w:ascii="Times New Roman" w:hAnsi="Times New Roman" w:eastAsia="Times New Roman" w:cs="Times New Roman"/>
          <w:color w:val="231F20"/>
          <w:spacing w:val="4"/>
        </w:rPr>
        <w:t>12</w:t>
      </w:r>
      <w:r>
        <w:rPr>
          <w:rFonts w:ascii="Times New Roman" w:hAnsi="Times New Roman" w:eastAsia="Times New Roman" w:cs="Times New Roman"/>
          <w:color w:val="231F20"/>
          <w:spacing w:val="3"/>
        </w:rPr>
        <w:t>.7%</w:t>
      </w:r>
      <w:r>
        <w:rPr>
          <w:color w:val="231F20"/>
          <w:spacing w:val="3"/>
        </w:rPr>
        <w:t>；深证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成指收于</w:t>
      </w:r>
      <w:r>
        <w:rPr>
          <w:rFonts w:ascii="Times New Roman" w:hAnsi="Times New Roman" w:eastAsia="Times New Roman" w:cs="Times New Roman"/>
          <w:color w:val="231F20"/>
          <w:spacing w:val="3"/>
        </w:rPr>
        <w:t>10414.6</w:t>
      </w:r>
      <w:r>
        <w:rPr>
          <w:color w:val="231F20"/>
          <w:spacing w:val="3"/>
        </w:rPr>
        <w:t>点，较上年末上涨</w:t>
      </w:r>
      <w:r>
        <w:rPr>
          <w:rFonts w:ascii="Times New Roman" w:hAnsi="Times New Roman" w:eastAsia="Times New Roman" w:cs="Times New Roman"/>
          <w:color w:val="231F20"/>
          <w:spacing w:val="3"/>
        </w:rPr>
        <w:t>9.3%</w:t>
      </w:r>
      <w:r>
        <w:rPr>
          <w:color w:val="231F20"/>
          <w:spacing w:val="3"/>
        </w:rPr>
        <w:t>（见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5"/>
        </w:rPr>
        <w:t>图</w:t>
      </w:r>
      <w:r>
        <w:rPr>
          <w:rFonts w:ascii="Times New Roman" w:hAnsi="Times New Roman" w:eastAsia="Times New Roman" w:cs="Times New Roman"/>
          <w:color w:val="231F20"/>
          <w:spacing w:val="15"/>
        </w:rPr>
        <w:t>4</w:t>
      </w:r>
      <w:r>
        <w:rPr>
          <w:color w:val="231F20"/>
          <w:spacing w:val="15"/>
        </w:rPr>
        <w:t>-</w:t>
      </w:r>
      <w:r>
        <w:rPr>
          <w:rFonts w:ascii="Times New Roman" w:hAnsi="Times New Roman" w:eastAsia="Times New Roman" w:cs="Times New Roman"/>
          <w:color w:val="231F20"/>
          <w:spacing w:val="15"/>
        </w:rPr>
        <w:t>3</w:t>
      </w:r>
      <w:r>
        <w:rPr>
          <w:color w:val="231F20"/>
          <w:spacing w:val="15"/>
        </w:rPr>
        <w:t>）。年末上证综指、深证成指、创业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板指和科创</w:t>
      </w:r>
      <w:r>
        <w:rPr>
          <w:rFonts w:ascii="Times New Roman" w:hAnsi="Times New Roman" w:eastAsia="Times New Roman" w:cs="Times New Roman"/>
          <w:color w:val="231F20"/>
          <w:spacing w:val="1"/>
        </w:rPr>
        <w:t>50</w:t>
      </w:r>
      <w:r>
        <w:rPr>
          <w:color w:val="231F20"/>
          <w:spacing w:val="1"/>
        </w:rPr>
        <w:t>市盈率分别为</w:t>
      </w:r>
      <w:r>
        <w:rPr>
          <w:rFonts w:ascii="Times New Roman" w:hAnsi="Times New Roman" w:eastAsia="Times New Roman" w:cs="Times New Roman"/>
          <w:color w:val="231F20"/>
          <w:spacing w:val="1"/>
        </w:rPr>
        <w:t>14.2</w:t>
      </w:r>
      <w:r>
        <w:rPr>
          <w:color w:val="231F20"/>
          <w:spacing w:val="1"/>
        </w:rPr>
        <w:t>倍、</w:t>
      </w:r>
      <w:r>
        <w:rPr>
          <w:rFonts w:ascii="Times New Roman" w:hAnsi="Times New Roman" w:eastAsia="Times New Roman" w:cs="Times New Roman"/>
          <w:color w:val="231F20"/>
          <w:spacing w:val="1"/>
        </w:rPr>
        <w:t>21.5</w:t>
      </w:r>
      <w:r>
        <w:rPr>
          <w:color w:val="231F20"/>
          <w:spacing w:val="1"/>
        </w:rPr>
        <w:t>倍、</w:t>
      </w:r>
      <w:r>
        <w:rPr>
          <w:color w:val="231F20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2"/>
        </w:rPr>
        <w:t>31.9</w:t>
      </w:r>
      <w:r>
        <w:rPr>
          <w:color w:val="231F20"/>
          <w:spacing w:val="2"/>
        </w:rPr>
        <w:t>倍和</w:t>
      </w:r>
      <w:r>
        <w:rPr>
          <w:rFonts w:ascii="Times New Roman" w:hAnsi="Times New Roman" w:eastAsia="Times New Roman" w:cs="Times New Roman"/>
          <w:color w:val="231F20"/>
          <w:spacing w:val="2"/>
        </w:rPr>
        <w:t>37.8</w:t>
      </w:r>
      <w:r>
        <w:rPr>
          <w:color w:val="231F20"/>
          <w:spacing w:val="2"/>
        </w:rPr>
        <w:t>倍（静态市盈率，剔除净利润为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-4"/>
        </w:rPr>
        <w:t>负的上市公司股票）。</w:t>
      </w:r>
    </w:p>
    <w:p>
      <w:pPr>
        <w:pStyle w:val="BodyText"/>
        <w:ind w:left="620"/>
        <w:spacing w:before="223" w:line="132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EE4256"/>
          <w:spacing w:val="9"/>
        </w:rPr>
        <w:t>——上证指数</w:t>
      </w:r>
      <w:r>
        <w:rPr>
          <w:sz w:val="13"/>
          <w:szCs w:val="13"/>
          <w:color w:val="EE4256"/>
          <w:spacing w:val="4"/>
        </w:rPr>
        <w:t xml:space="preserve">  </w:t>
      </w:r>
      <w:r>
        <w:rPr>
          <w:sz w:val="13"/>
          <w:szCs w:val="13"/>
          <w:color w:val="231F20"/>
          <w:spacing w:val="9"/>
        </w:rPr>
        <w:t>(左轴</w:t>
      </w:r>
      <w:r>
        <w:rPr>
          <w:sz w:val="13"/>
          <w:szCs w:val="13"/>
          <w:color w:val="231F20"/>
          <w:spacing w:val="16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</w:rPr>
        <w:t xml:space="preserve">    </w:t>
      </w:r>
      <w:r>
        <w:rPr>
          <w:sz w:val="13"/>
          <w:szCs w:val="13"/>
          <w:color w:val="4E85C6"/>
          <w:spacing w:val="9"/>
        </w:rPr>
        <w:t>——深证成指</w:t>
      </w:r>
      <w:r>
        <w:rPr>
          <w:sz w:val="13"/>
          <w:szCs w:val="13"/>
          <w:color w:val="4E85C6"/>
          <w:spacing w:val="9"/>
        </w:rPr>
        <w:t xml:space="preserve">  </w:t>
      </w:r>
      <w:r>
        <w:rPr>
          <w:sz w:val="13"/>
          <w:szCs w:val="13"/>
          <w:color w:val="231F20"/>
          <w:spacing w:val="9"/>
        </w:rPr>
        <w:t>(右轴</w:t>
      </w:r>
      <w:r>
        <w:rPr>
          <w:sz w:val="13"/>
          <w:szCs w:val="13"/>
          <w:color w:val="231F20"/>
          <w:spacing w:val="14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</w:rPr>
        <w:t>)</w:t>
      </w:r>
    </w:p>
    <w:p>
      <w:pPr>
        <w:ind w:firstLine="28"/>
        <w:spacing w:before="110" w:line="2220" w:lineRule="exact"/>
        <w:rPr/>
      </w:pPr>
      <w:r>
        <w:rPr>
          <w:position w:val="-44"/>
        </w:rPr>
        <w:drawing>
          <wp:inline distT="0" distB="0" distL="0" distR="0">
            <wp:extent cx="2606129" cy="1409564"/>
            <wp:effectExtent l="0" t="0" r="0" b="0"/>
            <wp:docPr id="398" name="IM 398"/>
            <wp:cNvGraphicFramePr/>
            <a:graphic>
              <a:graphicData uri="http://schemas.openxmlformats.org/drawingml/2006/picture">
                <pic:pic>
                  <pic:nvPicPr>
                    <pic:cNvPr id="398" name="IM 39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06129" cy="140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87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图4-3    2024年上证指数和深证成指走势</w:t>
      </w:r>
    </w:p>
    <w:p>
      <w:pPr>
        <w:pStyle w:val="BodyText"/>
        <w:ind w:left="1066"/>
        <w:spacing w:before="29" w:line="19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（数据来源：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Wind</w:t>
      </w:r>
      <w:r>
        <w:rPr>
          <w:sz w:val="18"/>
          <w:szCs w:val="18"/>
          <w:color w:val="231F20"/>
        </w:rPr>
        <w:t>数据）</w:t>
      </w:r>
    </w:p>
    <w:p>
      <w:pPr>
        <w:pStyle w:val="BodyText"/>
        <w:ind w:right="357" w:firstLine="427"/>
        <w:spacing w:before="302" w:line="230" w:lineRule="auto"/>
        <w:jc w:val="both"/>
        <w:rPr>
          <w:rFonts w:ascii="Times New Roman" w:hAnsi="Times New Roman" w:eastAsia="Times New Roman" w:cs="Times New Roman"/>
        </w:rPr>
      </w:pPr>
      <w:r>
        <w:rPr>
          <w:color w:val="231F20"/>
          <w:spacing w:val="9"/>
        </w:rPr>
        <w:t>成交活跃度同比上升，股票质押规模持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1"/>
        </w:rPr>
        <w:t>续下降。 </w:t>
      </w:r>
      <w:r>
        <w:rPr>
          <w:rFonts w:ascii="Times New Roman" w:hAnsi="Times New Roman" w:eastAsia="Times New Roman" w:cs="Times New Roman"/>
          <w:color w:val="231F20"/>
          <w:spacing w:val="11"/>
        </w:rPr>
        <w:t>2024</w:t>
      </w:r>
      <w:r>
        <w:rPr>
          <w:color w:val="231F20"/>
          <w:spacing w:val="11"/>
        </w:rPr>
        <w:t>年，沪深两市累计成交</w:t>
      </w:r>
      <w:r>
        <w:rPr>
          <w:rFonts w:ascii="Times New Roman" w:hAnsi="Times New Roman" w:eastAsia="Times New Roman" w:cs="Times New Roman"/>
          <w:color w:val="231F20"/>
          <w:spacing w:val="11"/>
        </w:rPr>
        <w:t>254.8</w:t>
      </w:r>
      <w:r>
        <w:rPr>
          <w:rFonts w:ascii="Times New Roman" w:hAnsi="Times New Roman" w:eastAsia="Times New Roman" w:cs="Times New Roman"/>
          <w:color w:val="231F20"/>
          <w:spacing w:val="18"/>
        </w:rPr>
        <w:t xml:space="preserve"> </w:t>
      </w:r>
      <w:r>
        <w:rPr>
          <w:color w:val="231F20"/>
          <w:spacing w:val="15"/>
        </w:rPr>
        <w:t>万亿元，日均成交</w:t>
      </w:r>
      <w:r>
        <w:rPr>
          <w:rFonts w:ascii="Times New Roman" w:hAnsi="Times New Roman" w:eastAsia="Times New Roman" w:cs="Times New Roman"/>
          <w:color w:val="231F20"/>
          <w:spacing w:val="15"/>
        </w:rPr>
        <w:t>10528.3</w:t>
      </w:r>
      <w:r>
        <w:rPr>
          <w:color w:val="231F20"/>
          <w:spacing w:val="15"/>
        </w:rPr>
        <w:t>亿元，同比增长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20.1%</w:t>
      </w:r>
      <w:r>
        <w:rPr>
          <w:color w:val="231F20"/>
          <w:spacing w:val="3"/>
        </w:rPr>
        <w:t>。沪市换手率</w:t>
      </w:r>
      <w:r>
        <w:rPr>
          <w:rFonts w:ascii="Times New Roman" w:hAnsi="Times New Roman" w:eastAsia="Times New Roman" w:cs="Times New Roman"/>
          <w:color w:val="231F20"/>
          <w:spacing w:val="3"/>
        </w:rPr>
        <w:t>239.6%</w:t>
      </w:r>
      <w:r>
        <w:rPr>
          <w:color w:val="231F20"/>
          <w:spacing w:val="3"/>
        </w:rPr>
        <w:t>，较上年上升</w:t>
      </w:r>
      <w:r>
        <w:rPr>
          <w:rFonts w:ascii="Times New Roman" w:hAnsi="Times New Roman" w:eastAsia="Times New Roman" w:cs="Times New Roman"/>
          <w:color w:val="231F20"/>
          <w:spacing w:val="3"/>
        </w:rPr>
        <w:t>31.9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1"/>
        <w:spacing w:before="43" w:line="256" w:lineRule="auto"/>
        <w:jc w:val="both"/>
        <w:rPr/>
      </w:pPr>
      <w:r>
        <w:rPr>
          <w:color w:val="231F20"/>
          <w:spacing w:val="6"/>
        </w:rPr>
        <w:t>个百分点，深市换手率</w:t>
      </w:r>
      <w:r>
        <w:rPr>
          <w:rFonts w:ascii="Times New Roman" w:hAnsi="Times New Roman" w:eastAsia="Times New Roman" w:cs="Times New Roman"/>
          <w:color w:val="231F20"/>
          <w:spacing w:val="6"/>
        </w:rPr>
        <w:t>570.4%</w:t>
      </w:r>
      <w:r>
        <w:rPr>
          <w:color w:val="231F20"/>
          <w:spacing w:val="6"/>
        </w:rPr>
        <w:t>，较上年上升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5"/>
        </w:rPr>
        <w:t>122.2</w:t>
      </w:r>
      <w:r>
        <w:rPr>
          <w:color w:val="231F20"/>
          <w:spacing w:val="15"/>
        </w:rPr>
        <w:t>个百分点。股票质押融资规模持续下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1"/>
        </w:rPr>
        <w:t>降，截至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年末，</w:t>
      </w:r>
      <w:r>
        <w:rPr>
          <w:rFonts w:ascii="Times New Roman" w:hAnsi="Times New Roman" w:eastAsia="Times New Roman" w:cs="Times New Roman"/>
          <w:color w:val="231F20"/>
          <w:spacing w:val="1"/>
        </w:rPr>
        <w:t>A</w:t>
      </w:r>
      <w:r>
        <w:rPr>
          <w:color w:val="231F20"/>
          <w:spacing w:val="1"/>
        </w:rPr>
        <w:t>股上市公司股票质</w:t>
      </w:r>
      <w:r>
        <w:rPr>
          <w:color w:val="231F20"/>
        </w:rPr>
        <w:t>押规 </w:t>
      </w:r>
      <w:r>
        <w:rPr>
          <w:color w:val="231F20"/>
          <w:spacing w:val="-1"/>
        </w:rPr>
        <w:t>模</w:t>
      </w:r>
      <w:r>
        <w:rPr>
          <w:rFonts w:ascii="Times New Roman" w:hAnsi="Times New Roman" w:eastAsia="Times New Roman" w:cs="Times New Roman"/>
          <w:color w:val="231F20"/>
          <w:spacing w:val="-1"/>
        </w:rPr>
        <w:t>3221.1</w:t>
      </w:r>
      <w:r>
        <w:rPr>
          <w:color w:val="231F20"/>
          <w:spacing w:val="-1"/>
        </w:rPr>
        <w:t>亿股，较上年末下降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7.6%</w:t>
      </w:r>
      <w:r>
        <w:rPr>
          <w:color w:val="231F20"/>
          <w:spacing w:val="-1"/>
        </w:rPr>
        <w:t>，连续六年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呈现下降趋势（见图</w:t>
      </w:r>
      <w:r>
        <w:rPr>
          <w:rFonts w:ascii="Times New Roman" w:hAnsi="Times New Roman" w:eastAsia="Times New Roman" w:cs="Times New Roman"/>
          <w:color w:val="231F20"/>
          <w:spacing w:val="1"/>
        </w:rPr>
        <w:t>4</w:t>
      </w:r>
      <w:r>
        <w:rPr>
          <w:color w:val="231F20"/>
          <w:spacing w:val="1"/>
        </w:rPr>
        <w:t>-</w:t>
      </w:r>
      <w:r>
        <w:rPr>
          <w:rFonts w:ascii="Times New Roman" w:hAnsi="Times New Roman" w:eastAsia="Times New Roman" w:cs="Times New Roman"/>
          <w:color w:val="231F20"/>
          <w:spacing w:val="1"/>
        </w:rPr>
        <w:t>4</w:t>
      </w:r>
      <w:r>
        <w:rPr>
          <w:color w:val="231F20"/>
          <w:spacing w:val="1"/>
        </w:rPr>
        <w:t>）。</w:t>
      </w:r>
    </w:p>
    <w:p>
      <w:pPr>
        <w:ind w:firstLine="32"/>
        <w:spacing w:before="223" w:line="2410" w:lineRule="exact"/>
        <w:rPr/>
      </w:pPr>
      <w:r>
        <w:drawing>
          <wp:anchor distT="0" distB="0" distL="0" distR="0" simplePos="0" relativeHeight="252145664" behindDoc="1" locked="0" layoutInCell="1" allowOverlap="1">
            <wp:simplePos x="0" y="0"/>
            <wp:positionH relativeFrom="column">
              <wp:posOffset>299167</wp:posOffset>
            </wp:positionH>
            <wp:positionV relativeFrom="paragraph">
              <wp:posOffset>1050233</wp:posOffset>
            </wp:positionV>
            <wp:extent cx="69659" cy="498970"/>
            <wp:effectExtent l="0" t="0" r="0" b="0"/>
            <wp:wrapNone/>
            <wp:docPr id="400" name="IM 400"/>
            <wp:cNvGraphicFramePr/>
            <a:graphic>
              <a:graphicData uri="http://schemas.openxmlformats.org/drawingml/2006/picture">
                <pic:pic>
                  <pic:nvPicPr>
                    <pic:cNvPr id="400" name="IM 40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59" cy="49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4640" behindDoc="1" locked="0" layoutInCell="1" allowOverlap="1">
            <wp:simplePos x="0" y="0"/>
            <wp:positionH relativeFrom="column">
              <wp:posOffset>521379</wp:posOffset>
            </wp:positionH>
            <wp:positionV relativeFrom="paragraph">
              <wp:posOffset>799040</wp:posOffset>
            </wp:positionV>
            <wp:extent cx="69646" cy="750176"/>
            <wp:effectExtent l="0" t="0" r="0" b="0"/>
            <wp:wrapNone/>
            <wp:docPr id="402" name="IM 402"/>
            <wp:cNvGraphicFramePr/>
            <a:graphic>
              <a:graphicData uri="http://schemas.openxmlformats.org/drawingml/2006/picture">
                <pic:pic>
                  <pic:nvPicPr>
                    <pic:cNvPr id="402" name="IM 402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46" cy="750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4880" behindDoc="0" locked="0" layoutInCell="1" allowOverlap="1">
            <wp:simplePos x="0" y="0"/>
            <wp:positionH relativeFrom="column">
              <wp:posOffset>500767</wp:posOffset>
            </wp:positionH>
            <wp:positionV relativeFrom="paragraph">
              <wp:posOffset>161031</wp:posOffset>
            </wp:positionV>
            <wp:extent cx="135597" cy="49885"/>
            <wp:effectExtent l="0" t="0" r="0" b="0"/>
            <wp:wrapNone/>
            <wp:docPr id="404" name="IM 404"/>
            <wp:cNvGraphicFramePr/>
            <a:graphic>
              <a:graphicData uri="http://schemas.openxmlformats.org/drawingml/2006/picture">
                <pic:pic>
                  <pic:nvPicPr>
                    <pic:cNvPr id="404" name="IM 404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5597" cy="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0544" behindDoc="1" locked="0" layoutInCell="1" allowOverlap="1">
            <wp:simplePos x="0" y="0"/>
            <wp:positionH relativeFrom="column">
              <wp:posOffset>743578</wp:posOffset>
            </wp:positionH>
            <wp:positionV relativeFrom="paragraph">
              <wp:posOffset>594876</wp:posOffset>
            </wp:positionV>
            <wp:extent cx="69659" cy="954328"/>
            <wp:effectExtent l="0" t="0" r="0" b="0"/>
            <wp:wrapNone/>
            <wp:docPr id="406" name="IM 406"/>
            <wp:cNvGraphicFramePr/>
            <a:graphic>
              <a:graphicData uri="http://schemas.openxmlformats.org/drawingml/2006/picture">
                <pic:pic>
                  <pic:nvPicPr>
                    <pic:cNvPr id="406" name="IM 406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59" cy="954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3616" behindDoc="1" locked="0" layoutInCell="1" allowOverlap="1">
            <wp:simplePos x="0" y="0"/>
            <wp:positionH relativeFrom="column">
              <wp:posOffset>965777</wp:posOffset>
            </wp:positionH>
            <wp:positionV relativeFrom="paragraph">
              <wp:posOffset>477159</wp:posOffset>
            </wp:positionV>
            <wp:extent cx="69659" cy="1072045"/>
            <wp:effectExtent l="0" t="0" r="0" b="0"/>
            <wp:wrapNone/>
            <wp:docPr id="408" name="IM 408"/>
            <wp:cNvGraphicFramePr/>
            <a:graphic>
              <a:graphicData uri="http://schemas.openxmlformats.org/drawingml/2006/picture">
                <pic:pic>
                  <pic:nvPicPr>
                    <pic:cNvPr id="408" name="IM 40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59" cy="107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2592" behindDoc="1" locked="0" layoutInCell="1" allowOverlap="1">
            <wp:simplePos x="0" y="0"/>
            <wp:positionH relativeFrom="column">
              <wp:posOffset>1187977</wp:posOffset>
            </wp:positionH>
            <wp:positionV relativeFrom="paragraph">
              <wp:posOffset>573006</wp:posOffset>
            </wp:positionV>
            <wp:extent cx="69646" cy="976185"/>
            <wp:effectExtent l="0" t="0" r="0" b="0"/>
            <wp:wrapNone/>
            <wp:docPr id="410" name="IM 410"/>
            <wp:cNvGraphicFramePr/>
            <a:graphic>
              <a:graphicData uri="http://schemas.openxmlformats.org/drawingml/2006/picture">
                <pic:pic>
                  <pic:nvPicPr>
                    <pic:cNvPr id="410" name="IM 410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46" cy="97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8736" behindDoc="1" locked="0" layoutInCell="1" allowOverlap="1">
            <wp:simplePos x="0" y="0"/>
            <wp:positionH relativeFrom="column">
              <wp:posOffset>1410189</wp:posOffset>
            </wp:positionH>
            <wp:positionV relativeFrom="paragraph">
              <wp:posOffset>728402</wp:posOffset>
            </wp:positionV>
            <wp:extent cx="69646" cy="820813"/>
            <wp:effectExtent l="0" t="0" r="0" b="0"/>
            <wp:wrapNone/>
            <wp:docPr id="412" name="IM 412"/>
            <wp:cNvGraphicFramePr/>
            <a:graphic>
              <a:graphicData uri="http://schemas.openxmlformats.org/drawingml/2006/picture">
                <pic:pic>
                  <pic:nvPicPr>
                    <pic:cNvPr id="412" name="IM 412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46" cy="820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1568" behindDoc="1" locked="0" layoutInCell="1" allowOverlap="1">
            <wp:simplePos x="0" y="0"/>
            <wp:positionH relativeFrom="column">
              <wp:posOffset>1632388</wp:posOffset>
            </wp:positionH>
            <wp:positionV relativeFrom="paragraph">
              <wp:posOffset>840937</wp:posOffset>
            </wp:positionV>
            <wp:extent cx="69659" cy="708278"/>
            <wp:effectExtent l="0" t="0" r="0" b="0"/>
            <wp:wrapNone/>
            <wp:docPr id="414" name="IM 414"/>
            <wp:cNvGraphicFramePr/>
            <a:graphic>
              <a:graphicData uri="http://schemas.openxmlformats.org/drawingml/2006/picture">
                <pic:pic>
                  <pic:nvPicPr>
                    <pic:cNvPr id="414" name="IM 414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59" cy="70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9760" behindDoc="1" locked="0" layoutInCell="1" allowOverlap="1">
            <wp:simplePos x="0" y="0"/>
            <wp:positionH relativeFrom="column">
              <wp:posOffset>1854587</wp:posOffset>
            </wp:positionH>
            <wp:positionV relativeFrom="paragraph">
              <wp:posOffset>872992</wp:posOffset>
            </wp:positionV>
            <wp:extent cx="69659" cy="676211"/>
            <wp:effectExtent l="0" t="0" r="0" b="0"/>
            <wp:wrapNone/>
            <wp:docPr id="416" name="IM 416"/>
            <wp:cNvGraphicFramePr/>
            <a:graphic>
              <a:graphicData uri="http://schemas.openxmlformats.org/drawingml/2006/picture">
                <pic:pic>
                  <pic:nvPicPr>
                    <pic:cNvPr id="416" name="IM 416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59" cy="67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1808" behindDoc="1" locked="0" layoutInCell="1" allowOverlap="1">
            <wp:simplePos x="0" y="0"/>
            <wp:positionH relativeFrom="column">
              <wp:posOffset>2076786</wp:posOffset>
            </wp:positionH>
            <wp:positionV relativeFrom="paragraph">
              <wp:posOffset>960787</wp:posOffset>
            </wp:positionV>
            <wp:extent cx="69659" cy="588416"/>
            <wp:effectExtent l="0" t="0" r="0" b="0"/>
            <wp:wrapNone/>
            <wp:docPr id="418" name="IM 418"/>
            <wp:cNvGraphicFramePr/>
            <a:graphic>
              <a:graphicData uri="http://schemas.openxmlformats.org/drawingml/2006/picture">
                <pic:pic>
                  <pic:nvPicPr>
                    <pic:cNvPr id="418" name="IM 418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59" cy="58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0784" behindDoc="1" locked="0" layoutInCell="1" allowOverlap="1">
            <wp:simplePos x="0" y="0"/>
            <wp:positionH relativeFrom="column">
              <wp:posOffset>2298998</wp:posOffset>
            </wp:positionH>
            <wp:positionV relativeFrom="paragraph">
              <wp:posOffset>1005758</wp:posOffset>
            </wp:positionV>
            <wp:extent cx="69646" cy="543445"/>
            <wp:effectExtent l="0" t="0" r="0" b="0"/>
            <wp:wrapNone/>
            <wp:docPr id="420" name="IM 420"/>
            <wp:cNvGraphicFramePr/>
            <a:graphic>
              <a:graphicData uri="http://schemas.openxmlformats.org/drawingml/2006/picture">
                <pic:pic>
                  <pic:nvPicPr>
                    <pic:cNvPr id="420" name="IM 420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646" cy="543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8"/>
        </w:rPr>
        <w:drawing>
          <wp:inline distT="0" distB="0" distL="0" distR="0">
            <wp:extent cx="2598962" cy="1530799"/>
            <wp:effectExtent l="0" t="0" r="0" b="0"/>
            <wp:docPr id="422" name="IM 422"/>
            <wp:cNvGraphicFramePr/>
            <a:graphic>
              <a:graphicData uri="http://schemas.openxmlformats.org/drawingml/2006/picture">
                <pic:pic>
                  <pic:nvPicPr>
                    <pic:cNvPr id="422" name="IM 422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8962" cy="153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35"/>
        <w:spacing w:before="155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图4-4    上市公司股东股票质押规模和同比增速</w:t>
      </w:r>
    </w:p>
    <w:p>
      <w:pPr>
        <w:pStyle w:val="BodyText"/>
        <w:ind w:left="1064"/>
        <w:spacing w:before="27" w:line="19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（数据来源：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Wind</w:t>
      </w:r>
      <w:r>
        <w:rPr>
          <w:sz w:val="18"/>
          <w:szCs w:val="18"/>
          <w:color w:val="231F20"/>
        </w:rPr>
        <w:t>数据）</w:t>
      </w:r>
    </w:p>
    <w:p>
      <w:pPr>
        <w:pStyle w:val="BodyText"/>
        <w:ind w:left="6" w:right="1" w:firstLine="427"/>
        <w:spacing w:before="308" w:line="256" w:lineRule="auto"/>
        <w:jc w:val="both"/>
        <w:rPr/>
      </w:pPr>
      <w:r>
        <w:rPr>
          <w:color w:val="231F20"/>
          <w:spacing w:val="9"/>
        </w:rPr>
        <w:t>融资融券余额同比上升。   截至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rFonts w:ascii="Times New Roman" w:hAnsi="Times New Roman" w:eastAsia="Times New Roman" w:cs="Times New Roman"/>
          <w:color w:val="231F20"/>
          <w:spacing w:val="-15"/>
        </w:rPr>
        <w:t xml:space="preserve"> </w:t>
      </w:r>
      <w:r>
        <w:rPr>
          <w:color w:val="231F20"/>
          <w:spacing w:val="9"/>
        </w:rPr>
        <w:t>年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末，</w:t>
      </w:r>
      <w:r>
        <w:rPr>
          <w:rFonts w:ascii="Times New Roman" w:hAnsi="Times New Roman" w:eastAsia="Times New Roman" w:cs="Times New Roman"/>
          <w:color w:val="231F20"/>
          <w:spacing w:val="5"/>
        </w:rPr>
        <w:t>A</w:t>
      </w:r>
      <w:r>
        <w:rPr>
          <w:color w:val="231F20"/>
          <w:spacing w:val="5"/>
        </w:rPr>
        <w:t>股融资融券余额</w:t>
      </w:r>
      <w:r>
        <w:rPr>
          <w:rFonts w:ascii="Times New Roman" w:hAnsi="Times New Roman" w:eastAsia="Times New Roman" w:cs="Times New Roman"/>
          <w:color w:val="231F20"/>
          <w:spacing w:val="5"/>
        </w:rPr>
        <w:t>1.9</w:t>
      </w:r>
      <w:r>
        <w:rPr>
          <w:color w:val="231F20"/>
          <w:spacing w:val="5"/>
        </w:rPr>
        <w:t>万亿元， 同比增长</w:t>
      </w:r>
      <w:r>
        <w:rPr>
          <w:color w:val="231F20"/>
          <w:spacing w:val="1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3"/>
        </w:rPr>
        <w:t>12.9%</w:t>
      </w:r>
      <w:r>
        <w:rPr>
          <w:color w:val="231F20"/>
          <w:spacing w:val="-3"/>
        </w:rPr>
        <w:t>，其中融资余额占比</w:t>
      </w:r>
      <w:r>
        <w:rPr>
          <w:rFonts w:ascii="Times New Roman" w:hAnsi="Times New Roman" w:eastAsia="Times New Roman" w:cs="Times New Roman"/>
          <w:color w:val="231F20"/>
          <w:spacing w:val="-3"/>
        </w:rPr>
        <w:t>99.4%</w:t>
      </w:r>
      <w:r>
        <w:rPr>
          <w:color w:val="231F20"/>
          <w:spacing w:val="-3"/>
        </w:rPr>
        <w:t>，</w:t>
      </w:r>
      <w:r>
        <w:rPr>
          <w:color w:val="231F20"/>
          <w:spacing w:val="-4"/>
        </w:rPr>
        <w:t>融券余额占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比</w:t>
      </w:r>
      <w:r>
        <w:rPr>
          <w:rFonts w:ascii="Times New Roman" w:hAnsi="Times New Roman" w:eastAsia="Times New Roman" w:cs="Times New Roman"/>
          <w:color w:val="231F20"/>
          <w:spacing w:val="-3"/>
        </w:rPr>
        <w:t>0.6%</w:t>
      </w:r>
      <w:r>
        <w:rPr>
          <w:color w:val="231F20"/>
          <w:spacing w:val="-3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-3"/>
        </w:rPr>
        <w:t>4</w:t>
      </w:r>
      <w:r>
        <w:rPr>
          <w:color w:val="231F20"/>
          <w:spacing w:val="-3"/>
        </w:rPr>
        <w:t>-</w:t>
      </w:r>
      <w:r>
        <w:rPr>
          <w:rFonts w:ascii="Times New Roman" w:hAnsi="Times New Roman" w:eastAsia="Times New Roman" w:cs="Times New Roman"/>
          <w:color w:val="231F20"/>
          <w:spacing w:val="-3"/>
        </w:rPr>
        <w:t>5</w:t>
      </w:r>
      <w:r>
        <w:rPr>
          <w:color w:val="231F20"/>
          <w:spacing w:val="-3"/>
        </w:rPr>
        <w:t>）。融资余额占</w:t>
      </w:r>
      <w:r>
        <w:rPr>
          <w:rFonts w:ascii="Times New Roman" w:hAnsi="Times New Roman" w:eastAsia="Times New Roman" w:cs="Times New Roman"/>
          <w:color w:val="231F20"/>
          <w:spacing w:val="-3"/>
        </w:rPr>
        <w:t>A</w:t>
      </w:r>
      <w:r>
        <w:rPr>
          <w:color w:val="231F20"/>
          <w:spacing w:val="-4"/>
        </w:rPr>
        <w:t>股流通市值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的比例为</w:t>
      </w:r>
      <w:r>
        <w:rPr>
          <w:rFonts w:ascii="Times New Roman" w:hAnsi="Times New Roman" w:eastAsia="Times New Roman" w:cs="Times New Roman"/>
          <w:color w:val="231F20"/>
          <w:spacing w:val="-7"/>
        </w:rPr>
        <w:t>2.4%</w:t>
      </w:r>
      <w:r>
        <w:rPr>
          <w:color w:val="231F20"/>
          <w:spacing w:val="-7"/>
        </w:rPr>
        <w:t>，较上年末上升</w:t>
      </w:r>
      <w:r>
        <w:rPr>
          <w:rFonts w:ascii="Times New Roman" w:hAnsi="Times New Roman" w:eastAsia="Times New Roman" w:cs="Times New Roman"/>
          <w:color w:val="231F20"/>
          <w:spacing w:val="-7"/>
        </w:rPr>
        <w:t>0.06</w:t>
      </w:r>
      <w:r>
        <w:rPr>
          <w:color w:val="231F20"/>
          <w:spacing w:val="-7"/>
        </w:rPr>
        <w:t>个百分点。</w:t>
      </w:r>
    </w:p>
    <w:p>
      <w:pPr>
        <w:pStyle w:val="BodyText"/>
        <w:ind w:left="642"/>
        <w:spacing w:before="226" w:line="136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231E20"/>
          <w:position w:val="1"/>
        </w:rPr>
        <w:drawing>
          <wp:inline distT="0" distB="0" distL="0" distR="0">
            <wp:extent cx="126212" cy="41363"/>
            <wp:effectExtent l="0" t="0" r="0" b="0"/>
            <wp:docPr id="424" name="IM 424"/>
            <wp:cNvGraphicFramePr/>
            <a:graphic>
              <a:graphicData uri="http://schemas.openxmlformats.org/drawingml/2006/picture">
                <pic:pic>
                  <pic:nvPicPr>
                    <pic:cNvPr id="424" name="IM 42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212" cy="4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E20"/>
          <w:spacing w:val="33"/>
        </w:rPr>
        <w:t xml:space="preserve"> </w:t>
      </w:r>
      <w:r>
        <w:rPr>
          <w:sz w:val="13"/>
          <w:szCs w:val="13"/>
          <w:color w:val="231E20"/>
          <w:spacing w:val="8"/>
        </w:rPr>
        <w:t>融资融券余额</w:t>
      </w:r>
      <w:r>
        <w:rPr>
          <w:sz w:val="13"/>
          <w:szCs w:val="13"/>
          <w:color w:val="231E20"/>
          <w:spacing w:val="8"/>
        </w:rPr>
        <w:t xml:space="preserve">  </w:t>
      </w:r>
      <w:r>
        <w:rPr>
          <w:sz w:val="13"/>
          <w:szCs w:val="13"/>
          <w:color w:val="231F20"/>
          <w:spacing w:val="8"/>
        </w:rPr>
        <w:t>(左轴</w:t>
      </w:r>
      <w:r>
        <w:rPr>
          <w:sz w:val="13"/>
          <w:szCs w:val="13"/>
          <w:color w:val="231F20"/>
          <w:spacing w:val="12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E20"/>
          <w:spacing w:val="8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E20"/>
          <w:spacing w:val="2"/>
        </w:rPr>
        <w:t xml:space="preserve">     </w:t>
      </w:r>
      <w:r>
        <w:rPr>
          <w:rFonts w:ascii="DejaVu Sans" w:hAnsi="DejaVu Sans" w:eastAsia="DejaVu Sans" w:cs="DejaVu Sans"/>
          <w:sz w:val="13"/>
          <w:szCs w:val="13"/>
          <w:color w:val="762D36"/>
          <w:spacing w:val="8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762D36"/>
          <w:spacing w:val="8"/>
        </w:rPr>
        <w:t xml:space="preserve"> </w:t>
      </w:r>
      <w:r>
        <w:rPr>
          <w:sz w:val="13"/>
          <w:szCs w:val="13"/>
          <w:color w:val="231F20"/>
          <w:spacing w:val="8"/>
        </w:rPr>
        <w:t>增速</w:t>
      </w:r>
      <w:r>
        <w:rPr>
          <w:sz w:val="13"/>
          <w:szCs w:val="13"/>
          <w:color w:val="231F20"/>
          <w:spacing w:val="8"/>
        </w:rPr>
        <w:t xml:space="preserve">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8"/>
        </w:rPr>
        <w:t>(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8"/>
        </w:rPr>
        <w:t xml:space="preserve"> </w:t>
      </w:r>
      <w:r>
        <w:rPr>
          <w:sz w:val="13"/>
          <w:szCs w:val="13"/>
          <w:color w:val="231F20"/>
          <w:spacing w:val="8"/>
        </w:rPr>
        <w:t>右轴</w:t>
      </w:r>
      <w:r>
        <w:rPr>
          <w:sz w:val="13"/>
          <w:szCs w:val="13"/>
          <w:color w:val="231F20"/>
          <w:spacing w:val="14"/>
          <w:w w:val="102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E20"/>
          <w:spacing w:val="8"/>
        </w:rPr>
        <w:t>)</w:t>
      </w:r>
    </w:p>
    <w:p>
      <w:pPr>
        <w:ind w:firstLine="18"/>
        <w:spacing w:before="24" w:line="2318" w:lineRule="exact"/>
        <w:rPr/>
      </w:pPr>
      <w:r>
        <w:drawing>
          <wp:anchor distT="0" distB="0" distL="0" distR="0" simplePos="0" relativeHeight="252146688" behindDoc="1" locked="0" layoutInCell="1" allowOverlap="1">
            <wp:simplePos x="0" y="0"/>
            <wp:positionH relativeFrom="column">
              <wp:posOffset>309289</wp:posOffset>
            </wp:positionH>
            <wp:positionV relativeFrom="paragraph">
              <wp:posOffset>668371</wp:posOffset>
            </wp:positionV>
            <wp:extent cx="69532" cy="703935"/>
            <wp:effectExtent l="0" t="0" r="0" b="0"/>
            <wp:wrapNone/>
            <wp:docPr id="426" name="IM 426"/>
            <wp:cNvGraphicFramePr/>
            <a:graphic>
              <a:graphicData uri="http://schemas.openxmlformats.org/drawingml/2006/picture">
                <pic:pic>
                  <pic:nvPicPr>
                    <pic:cNvPr id="426" name="IM 42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32" cy="7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47712" behindDoc="1" locked="0" layoutInCell="1" allowOverlap="1">
            <wp:simplePos x="0" y="0"/>
            <wp:positionH relativeFrom="column">
              <wp:posOffset>531107</wp:posOffset>
            </wp:positionH>
            <wp:positionV relativeFrom="paragraph">
              <wp:posOffset>809252</wp:posOffset>
            </wp:positionV>
            <wp:extent cx="69532" cy="563054"/>
            <wp:effectExtent l="0" t="0" r="0" b="0"/>
            <wp:wrapNone/>
            <wp:docPr id="428" name="IM 428"/>
            <wp:cNvGraphicFramePr/>
            <a:graphic>
              <a:graphicData uri="http://schemas.openxmlformats.org/drawingml/2006/picture">
                <pic:pic>
                  <pic:nvPicPr>
                    <pic:cNvPr id="428" name="IM 428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32" cy="563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8496" behindDoc="1" locked="0" layoutInCell="1" allowOverlap="1">
            <wp:simplePos x="0" y="0"/>
            <wp:positionH relativeFrom="column">
              <wp:posOffset>752913</wp:posOffset>
            </wp:positionH>
            <wp:positionV relativeFrom="paragraph">
              <wp:posOffset>757093</wp:posOffset>
            </wp:positionV>
            <wp:extent cx="69532" cy="615213"/>
            <wp:effectExtent l="0" t="0" r="0" b="0"/>
            <wp:wrapNone/>
            <wp:docPr id="430" name="IM 430"/>
            <wp:cNvGraphicFramePr/>
            <a:graphic>
              <a:graphicData uri="http://schemas.openxmlformats.org/drawingml/2006/picture">
                <pic:pic>
                  <pic:nvPicPr>
                    <pic:cNvPr id="430" name="IM 430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32" cy="615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3856" behindDoc="1" locked="0" layoutInCell="1" allowOverlap="1">
            <wp:simplePos x="0" y="0"/>
            <wp:positionH relativeFrom="column">
              <wp:posOffset>974718</wp:posOffset>
            </wp:positionH>
            <wp:positionV relativeFrom="paragraph">
              <wp:posOffset>919285</wp:posOffset>
            </wp:positionV>
            <wp:extent cx="69532" cy="453021"/>
            <wp:effectExtent l="0" t="0" r="0" b="0"/>
            <wp:wrapNone/>
            <wp:docPr id="432" name="IM 432"/>
            <wp:cNvGraphicFramePr/>
            <a:graphic>
              <a:graphicData uri="http://schemas.openxmlformats.org/drawingml/2006/picture">
                <pic:pic>
                  <pic:nvPicPr>
                    <pic:cNvPr id="432" name="IM 432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32" cy="453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52832" behindDoc="1" locked="0" layoutInCell="1" allowOverlap="1">
            <wp:simplePos x="0" y="0"/>
            <wp:positionH relativeFrom="column">
              <wp:posOffset>1196524</wp:posOffset>
            </wp:positionH>
            <wp:positionV relativeFrom="paragraph">
              <wp:posOffset>761272</wp:posOffset>
            </wp:positionV>
            <wp:extent cx="69532" cy="611035"/>
            <wp:effectExtent l="0" t="0" r="0" b="0"/>
            <wp:wrapNone/>
            <wp:docPr id="434" name="IM 434"/>
            <wp:cNvGraphicFramePr/>
            <a:graphic>
              <a:graphicData uri="http://schemas.openxmlformats.org/drawingml/2006/picture">
                <pic:pic>
                  <pic:nvPicPr>
                    <pic:cNvPr id="434" name="IM 43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532" cy="61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139520" behindDoc="1" locked="0" layoutInCell="1" allowOverlap="1">
            <wp:simplePos x="0" y="0"/>
            <wp:positionH relativeFrom="column">
              <wp:posOffset>1418342</wp:posOffset>
            </wp:positionH>
            <wp:positionV relativeFrom="paragraph">
              <wp:posOffset>254554</wp:posOffset>
            </wp:positionV>
            <wp:extent cx="956767" cy="1117753"/>
            <wp:effectExtent l="0" t="0" r="0" b="0"/>
            <wp:wrapNone/>
            <wp:docPr id="436" name="IM 436"/>
            <wp:cNvGraphicFramePr/>
            <a:graphic>
              <a:graphicData uri="http://schemas.openxmlformats.org/drawingml/2006/picture">
                <pic:pic>
                  <pic:nvPicPr>
                    <pic:cNvPr id="436" name="IM 43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56767" cy="111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6"/>
        </w:rPr>
        <w:drawing>
          <wp:inline distT="0" distB="0" distL="0" distR="0">
            <wp:extent cx="2616405" cy="1471504"/>
            <wp:effectExtent l="0" t="0" r="0" b="0"/>
            <wp:docPr id="438" name="IM 438"/>
            <wp:cNvGraphicFramePr/>
            <a:graphic>
              <a:graphicData uri="http://schemas.openxmlformats.org/drawingml/2006/picture">
                <pic:pic>
                  <pic:nvPicPr>
                    <pic:cNvPr id="438" name="IM 43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16405" cy="147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15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图4-5    上市公司融资融券规模和</w:t>
      </w:r>
      <w:r>
        <w:rPr>
          <w:sz w:val="18"/>
          <w:szCs w:val="18"/>
          <w:color w:val="231F20"/>
          <w:spacing w:val="1"/>
        </w:rPr>
        <w:t>同比增速</w:t>
      </w:r>
    </w:p>
    <w:p>
      <w:pPr>
        <w:pStyle w:val="BodyText"/>
        <w:ind w:left="1064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（数据来源：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Wind</w:t>
      </w:r>
      <w:r>
        <w:rPr>
          <w:sz w:val="18"/>
          <w:szCs w:val="18"/>
          <w:color w:val="231F20"/>
        </w:rPr>
        <w:t>数据）</w:t>
      </w:r>
    </w:p>
    <w:p>
      <w:pPr>
        <w:pStyle w:val="BodyText"/>
        <w:ind w:right="1" w:firstLine="427"/>
        <w:spacing w:before="304" w:line="188" w:lineRule="auto"/>
        <w:rPr/>
      </w:pPr>
      <w:r>
        <w:rPr>
          <w:color w:val="231F20"/>
          <w:spacing w:val="21"/>
        </w:rPr>
        <w:t>股票市场首发融资和增发规模减少。</w:t>
      </w:r>
      <w:r>
        <w:rPr>
          <w:color w:val="231F20"/>
          <w:spacing w:val="3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12"/>
        </w:rPr>
        <w:t>2024</w:t>
      </w:r>
      <w:r>
        <w:rPr>
          <w:color w:val="231F20"/>
          <w:spacing w:val="12"/>
        </w:rPr>
        <w:t>年共有</w:t>
      </w:r>
      <w:r>
        <w:rPr>
          <w:rFonts w:ascii="Times New Roman" w:hAnsi="Times New Roman" w:eastAsia="Times New Roman" w:cs="Times New Roman"/>
          <w:color w:val="231F20"/>
          <w:spacing w:val="12"/>
        </w:rPr>
        <w:t>100</w:t>
      </w:r>
      <w:r>
        <w:rPr>
          <w:color w:val="231F20"/>
          <w:spacing w:val="12"/>
        </w:rPr>
        <w:t>家企业完成发行上市，融资</w:t>
      </w:r>
    </w:p>
    <w:p>
      <w:pPr>
        <w:spacing w:line="188" w:lineRule="auto"/>
        <w:sectPr>
          <w:type w:val="continuous"/>
          <w:pgSz w:w="11906" w:h="16158"/>
          <w:pgMar w:top="1383" w:right="1415" w:bottom="400" w:left="1703" w:header="1060" w:footer="0" w:gutter="0"/>
          <w:cols w:equalWidth="0" w:num="2">
            <w:col w:w="4523" w:space="100"/>
            <w:col w:w="4165" w:space="0"/>
          </w:cols>
        </w:sectPr>
        <w:rPr/>
      </w:pPr>
    </w:p>
    <w:p>
      <w:pPr>
        <w:spacing w:before="172"/>
        <w:rPr/>
      </w:pPr>
      <w:r/>
    </w:p>
    <w:p>
      <w:pPr>
        <w:sectPr>
          <w:headerReference w:type="default" r:id="rId221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4" w:right="357" w:firstLine="6"/>
        <w:spacing w:before="40" w:line="261" w:lineRule="auto"/>
        <w:jc w:val="both"/>
        <w:rPr/>
      </w:pPr>
      <w:r>
        <w:rPr>
          <w:color w:val="231F20"/>
          <w:spacing w:val="11"/>
        </w:rPr>
        <w:t>总额</w:t>
      </w:r>
      <w:r>
        <w:rPr>
          <w:rFonts w:ascii="Times New Roman" w:hAnsi="Times New Roman" w:eastAsia="Times New Roman" w:cs="Times New Roman"/>
          <w:color w:val="231F20"/>
          <w:spacing w:val="11"/>
        </w:rPr>
        <w:t>670.04</w:t>
      </w:r>
      <w:r>
        <w:rPr>
          <w:color w:val="231F20"/>
          <w:spacing w:val="11"/>
        </w:rPr>
        <w:t>亿元；</w:t>
      </w:r>
      <w:r>
        <w:rPr>
          <w:color w:val="231F20"/>
          <w:spacing w:val="2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658</w:t>
      </w:r>
      <w:r>
        <w:rPr>
          <w:color w:val="231F20"/>
          <w:spacing w:val="11"/>
        </w:rPr>
        <w:t>家企业完成再融</w:t>
      </w:r>
      <w:r>
        <w:rPr>
          <w:color w:val="231F20"/>
          <w:spacing w:val="10"/>
        </w:rPr>
        <w:t>资发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行（包括公开增发、定向增发、配股、优先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股</w:t>
      </w:r>
      <w:r>
        <w:rPr>
          <w:color w:val="231F20"/>
          <w:spacing w:val="2"/>
        </w:rPr>
        <w:t>），</w:t>
      </w:r>
      <w:r>
        <w:rPr>
          <w:color w:val="231F20"/>
          <w:spacing w:val="-2"/>
        </w:rPr>
        <w:t>融资总额</w:t>
      </w:r>
      <w:r>
        <w:rPr>
          <w:rFonts w:ascii="Times New Roman" w:hAnsi="Times New Roman" w:eastAsia="Times New Roman" w:cs="Times New Roman"/>
          <w:color w:val="231F20"/>
          <w:spacing w:val="-2"/>
        </w:rPr>
        <w:t>1936.44</w:t>
      </w:r>
      <w:r>
        <w:rPr>
          <w:color w:val="231F20"/>
          <w:spacing w:val="-2"/>
        </w:rPr>
        <w:t>亿元。</w:t>
      </w:r>
    </w:p>
    <w:p>
      <w:pPr>
        <w:pStyle w:val="BodyText"/>
        <w:ind w:left="417"/>
        <w:spacing w:before="111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（五）期货期权市场</w:t>
      </w:r>
    </w:p>
    <w:p>
      <w:pPr>
        <w:pStyle w:val="BodyText"/>
        <w:ind w:left="3" w:right="357" w:firstLine="430"/>
        <w:spacing w:before="251" w:line="251" w:lineRule="auto"/>
        <w:rPr/>
      </w:pPr>
      <w:r>
        <w:rPr>
          <w:color w:val="231F20"/>
          <w:spacing w:val="1"/>
        </w:rPr>
        <w:t>期货期权市场运行总体平稳。   截至</w:t>
      </w:r>
      <w:r>
        <w:rPr>
          <w:rFonts w:ascii="Times New Roman" w:hAnsi="Times New Roman" w:eastAsia="Times New Roman" w:cs="Times New Roman"/>
          <w:color w:val="231F20"/>
          <w:spacing w:val="1"/>
        </w:rPr>
        <w:t>20</w:t>
      </w:r>
      <w:r>
        <w:rPr>
          <w:rFonts w:ascii="Times New Roman" w:hAnsi="Times New Roman" w:eastAsia="Times New Roman" w:cs="Times New Roman"/>
          <w:color w:val="231F20"/>
        </w:rPr>
        <w:t>24 </w:t>
      </w:r>
      <w:r>
        <w:rPr>
          <w:color w:val="231F20"/>
        </w:rPr>
        <w:t>年末，全国期货期权市场累计成交量为</w:t>
      </w:r>
      <w:r>
        <w:rPr>
          <w:rFonts w:ascii="Times New Roman" w:hAnsi="Times New Roman" w:eastAsia="Times New Roman" w:cs="Times New Roman"/>
          <w:color w:val="231F20"/>
        </w:rPr>
        <w:t>77.3</w:t>
      </w:r>
      <w:r>
        <w:rPr>
          <w:color w:val="231F20"/>
        </w:rPr>
        <w:t>亿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6"/>
        </w:rPr>
        <w:t>手（单边，下同</w:t>
      </w:r>
      <w:r>
        <w:rPr>
          <w:color w:val="231F20"/>
          <w:spacing w:val="15"/>
        </w:rPr>
        <w:t>），</w:t>
      </w:r>
      <w:r>
        <w:rPr>
          <w:color w:val="231F20"/>
          <w:spacing w:val="6"/>
        </w:rPr>
        <w:t>同比下降</w:t>
      </w:r>
      <w:r>
        <w:rPr>
          <w:rFonts w:ascii="Times New Roman" w:hAnsi="Times New Roman" w:eastAsia="Times New Roman" w:cs="Times New Roman"/>
          <w:color w:val="231F20"/>
          <w:spacing w:val="6"/>
        </w:rPr>
        <w:t>9.1%</w:t>
      </w:r>
      <w:r>
        <w:rPr>
          <w:color w:val="231F20"/>
          <w:spacing w:val="6"/>
        </w:rPr>
        <w:t>，累计成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交额为</w:t>
      </w:r>
      <w:r>
        <w:rPr>
          <w:rFonts w:ascii="Times New Roman" w:hAnsi="Times New Roman" w:eastAsia="Times New Roman" w:cs="Times New Roman"/>
          <w:color w:val="231F20"/>
          <w:spacing w:val="2"/>
        </w:rPr>
        <w:t>619.3</w:t>
      </w:r>
      <w:r>
        <w:rPr>
          <w:color w:val="231F20"/>
          <w:spacing w:val="2"/>
        </w:rPr>
        <w:t>万亿元，同比增长</w:t>
      </w:r>
      <w:r>
        <w:rPr>
          <w:rFonts w:ascii="Times New Roman" w:hAnsi="Times New Roman" w:eastAsia="Times New Roman" w:cs="Times New Roman"/>
          <w:color w:val="231F20"/>
          <w:spacing w:val="2"/>
        </w:rPr>
        <w:t>8.9%</w:t>
      </w:r>
      <w:r>
        <w:rPr>
          <w:color w:val="231F20"/>
          <w:spacing w:val="2"/>
        </w:rPr>
        <w:t>。其中，</w:t>
      </w:r>
      <w:r>
        <w:rPr>
          <w:color w:val="231F20"/>
          <w:spacing w:val="7"/>
        </w:rPr>
        <w:t xml:space="preserve">  </w:t>
      </w:r>
      <w:r>
        <w:rPr>
          <w:color w:val="231F20"/>
          <w:spacing w:val="9"/>
        </w:rPr>
        <w:t>上海期货交易所、中国金融期货交易所、郑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州商品交易所、大连商品交易所、上海国际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能源交易中心、广州期货交易所成交总量占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全国的份额分别为</w:t>
      </w:r>
      <w:r>
        <w:rPr>
          <w:rFonts w:ascii="Times New Roman" w:hAnsi="Times New Roman" w:eastAsia="Times New Roman" w:cs="Times New Roman"/>
          <w:color w:val="231F20"/>
          <w:spacing w:val="6"/>
        </w:rPr>
        <w:t>29.2%</w:t>
      </w:r>
      <w:r>
        <w:rPr>
          <w:rFonts w:ascii="Times New Roman" w:hAnsi="Times New Roman" w:eastAsia="Times New Roman" w:cs="Times New Roman"/>
          <w:color w:val="231F20"/>
          <w:spacing w:val="-5"/>
        </w:rPr>
        <w:t xml:space="preserve"> </w:t>
      </w:r>
      <w:r>
        <w:rPr>
          <w:color w:val="231F20"/>
          <w:spacing w:val="6"/>
        </w:rPr>
        <w:t>、</w:t>
      </w:r>
      <w:r>
        <w:rPr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3.3%</w:t>
      </w:r>
      <w:r>
        <w:rPr>
          <w:rFonts w:ascii="Times New Roman" w:hAnsi="Times New Roman" w:eastAsia="Times New Roman" w:cs="Times New Roman"/>
          <w:color w:val="231F20"/>
          <w:spacing w:val="-14"/>
        </w:rPr>
        <w:t xml:space="preserve"> </w:t>
      </w:r>
      <w:r>
        <w:rPr>
          <w:color w:val="231F20"/>
          <w:spacing w:val="6"/>
        </w:rPr>
        <w:t>、</w:t>
      </w:r>
      <w:r>
        <w:rPr>
          <w:color w:val="231F20"/>
          <w:spacing w:val="-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33.8%</w:t>
      </w:r>
      <w:r>
        <w:rPr>
          <w:rFonts w:ascii="Times New Roman" w:hAnsi="Times New Roman" w:eastAsia="Times New Roman" w:cs="Times New Roman"/>
          <w:color w:val="231F20"/>
          <w:spacing w:val="-14"/>
        </w:rPr>
        <w:t xml:space="preserve"> </w:t>
      </w:r>
      <w:r>
        <w:rPr>
          <w:color w:val="231F20"/>
          <w:spacing w:val="6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2"/>
        </w:rPr>
        <w:t>29.4%</w:t>
      </w:r>
      <w:r>
        <w:rPr>
          <w:rFonts w:ascii="Times New Roman" w:hAnsi="Times New Roman" w:eastAsia="Times New Roman" w:cs="Times New Roman"/>
          <w:color w:val="231F20"/>
          <w:spacing w:val="-19"/>
        </w:rPr>
        <w:t xml:space="preserve"> </w:t>
      </w:r>
      <w:r>
        <w:rPr>
          <w:color w:val="231F20"/>
          <w:spacing w:val="-2"/>
        </w:rPr>
        <w:t>、</w:t>
      </w:r>
      <w:r>
        <w:rPr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2"/>
        </w:rPr>
        <w:t>1.8%</w:t>
      </w:r>
      <w:r>
        <w:rPr>
          <w:color w:val="231F20"/>
          <w:spacing w:val="-2"/>
        </w:rPr>
        <w:t>和</w:t>
      </w:r>
      <w:r>
        <w:rPr>
          <w:rFonts w:ascii="Times New Roman" w:hAnsi="Times New Roman" w:eastAsia="Times New Roman" w:cs="Times New Roman"/>
          <w:color w:val="231F20"/>
          <w:spacing w:val="-2"/>
        </w:rPr>
        <w:t>2.5%</w:t>
      </w:r>
      <w:r>
        <w:rPr>
          <w:color w:val="231F20"/>
          <w:spacing w:val="-2"/>
        </w:rPr>
        <w:t>；成交额占全国的份额分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别为</w:t>
      </w:r>
      <w:r>
        <w:rPr>
          <w:rFonts w:ascii="Times New Roman" w:hAnsi="Times New Roman" w:eastAsia="Times New Roman" w:cs="Times New Roman"/>
          <w:color w:val="231F20"/>
          <w:spacing w:val="-3"/>
        </w:rPr>
        <w:t>32.7%</w:t>
      </w:r>
      <w:r>
        <w:rPr>
          <w:rFonts w:ascii="Times New Roman" w:hAnsi="Times New Roman" w:eastAsia="Times New Roman" w:cs="Times New Roman"/>
          <w:color w:val="231F20"/>
          <w:spacing w:val="-23"/>
        </w:rPr>
        <w:t xml:space="preserve"> </w:t>
      </w:r>
      <w:r>
        <w:rPr>
          <w:color w:val="231F20"/>
          <w:spacing w:val="-3"/>
        </w:rPr>
        <w:t>、</w:t>
      </w:r>
      <w:r>
        <w:rPr>
          <w:rFonts w:ascii="Times New Roman" w:hAnsi="Times New Roman" w:eastAsia="Times New Roman" w:cs="Times New Roman"/>
          <w:color w:val="231F20"/>
          <w:spacing w:val="-3"/>
        </w:rPr>
        <w:t>30.8%</w:t>
      </w:r>
      <w:r>
        <w:rPr>
          <w:rFonts w:ascii="Times New Roman" w:hAnsi="Times New Roman" w:eastAsia="Times New Roman" w:cs="Times New Roman"/>
          <w:color w:val="231F20"/>
          <w:spacing w:val="-24"/>
        </w:rPr>
        <w:t xml:space="preserve"> </w:t>
      </w:r>
      <w:r>
        <w:rPr>
          <w:color w:val="231F20"/>
          <w:spacing w:val="-3"/>
        </w:rPr>
        <w:t>、</w:t>
      </w:r>
      <w:r>
        <w:rPr>
          <w:color w:val="231F20"/>
          <w:spacing w:val="-1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3"/>
        </w:rPr>
        <w:t>13.8%</w:t>
      </w:r>
      <w:r>
        <w:rPr>
          <w:rFonts w:ascii="Times New Roman" w:hAnsi="Times New Roman" w:eastAsia="Times New Roman" w:cs="Times New Roman"/>
          <w:color w:val="231F20"/>
          <w:spacing w:val="-25"/>
        </w:rPr>
        <w:t xml:space="preserve"> </w:t>
      </w:r>
      <w:r>
        <w:rPr>
          <w:color w:val="231F20"/>
          <w:spacing w:val="-3"/>
        </w:rPr>
        <w:t>、</w:t>
      </w:r>
      <w:r>
        <w:rPr>
          <w:color w:val="231F20"/>
          <w:spacing w:val="-1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3"/>
        </w:rPr>
        <w:t>15.9%</w:t>
      </w:r>
      <w:r>
        <w:rPr>
          <w:rFonts w:ascii="Times New Roman" w:hAnsi="Times New Roman" w:eastAsia="Times New Roman" w:cs="Times New Roman"/>
          <w:color w:val="231F20"/>
          <w:spacing w:val="-25"/>
        </w:rPr>
        <w:t xml:space="preserve"> </w:t>
      </w:r>
      <w:r>
        <w:rPr>
          <w:color w:val="231F20"/>
          <w:spacing w:val="-3"/>
        </w:rPr>
        <w:t>、</w:t>
      </w:r>
      <w:r>
        <w:rPr>
          <w:rFonts w:ascii="Times New Roman" w:hAnsi="Times New Roman" w:eastAsia="Times New Roman" w:cs="Times New Roman"/>
          <w:color w:val="231F20"/>
          <w:spacing w:val="-3"/>
        </w:rPr>
        <w:t>5.1%</w:t>
      </w:r>
      <w:r>
        <w:rPr>
          <w:color w:val="231F20"/>
          <w:spacing w:val="-3"/>
        </w:rPr>
        <w:t>和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1.8%</w:t>
      </w:r>
      <w:r>
        <w:rPr>
          <w:color w:val="231F20"/>
          <w:spacing w:val="-1"/>
        </w:rPr>
        <w:t>。</w:t>
      </w:r>
    </w:p>
    <w:p>
      <w:pPr>
        <w:pStyle w:val="BodyText"/>
        <w:ind w:left="417"/>
        <w:spacing w:before="134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（六）票据市场</w:t>
      </w:r>
    </w:p>
    <w:p>
      <w:pPr>
        <w:pStyle w:val="BodyText"/>
        <w:ind w:left="4" w:right="356" w:firstLine="431"/>
        <w:spacing w:before="247" w:line="239" w:lineRule="auto"/>
        <w:jc w:val="both"/>
        <w:rPr/>
      </w:pPr>
      <w:r>
        <w:rPr>
          <w:color w:val="231F20"/>
          <w:spacing w:val="9"/>
        </w:rPr>
        <w:t>票据市场业务总量稳步增长。   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rFonts w:ascii="Times New Roman" w:hAnsi="Times New Roman" w:eastAsia="Times New Roman" w:cs="Times New Roman"/>
          <w:color w:val="231F20"/>
          <w:spacing w:val="-13"/>
        </w:rPr>
        <w:t xml:space="preserve"> </w:t>
      </w:r>
      <w:r>
        <w:rPr>
          <w:color w:val="231F20"/>
          <w:spacing w:val="9"/>
        </w:rPr>
        <w:t>年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全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市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业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务 总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2"/>
        </w:rPr>
        <w:t>量</w:t>
      </w:r>
      <w:r>
        <w:rPr>
          <w:color w:val="231F20"/>
          <w:spacing w:val="-1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2"/>
        </w:rPr>
        <w:t>243.7</w:t>
      </w:r>
      <w:r>
        <w:rPr>
          <w:rFonts w:ascii="Times New Roman" w:hAnsi="Times New Roman" w:eastAsia="Times New Roman" w:cs="Times New Roman"/>
          <w:color w:val="231F20"/>
          <w:spacing w:val="-17"/>
        </w:rPr>
        <w:t xml:space="preserve"> </w:t>
      </w:r>
      <w:r>
        <w:rPr>
          <w:color w:val="231F20"/>
          <w:spacing w:val="-2"/>
        </w:rPr>
        <w:t>万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亿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， 同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比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增 长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8</w:t>
      </w:r>
      <w:r>
        <w:rPr>
          <w:rFonts w:ascii="Times New Roman" w:hAnsi="Times New Roman" w:eastAsia="Times New Roman" w:cs="Times New Roman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.</w:t>
      </w:r>
      <w:r>
        <w:rPr>
          <w:rFonts w:ascii="Times New Roman" w:hAnsi="Times New Roman" w:eastAsia="Times New Roman" w:cs="Times New Roman"/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5% </w:t>
      </w:r>
      <w:r>
        <w:rPr>
          <w:color w:val="231F20"/>
          <w:spacing w:val="12"/>
        </w:rPr>
        <w:t>，其中，承兑金额</w:t>
      </w:r>
      <w:r>
        <w:rPr>
          <w:rFonts w:ascii="Times New Roman" w:hAnsi="Times New Roman" w:eastAsia="Times New Roman" w:cs="Times New Roman"/>
          <w:color w:val="231F20"/>
          <w:spacing w:val="12"/>
        </w:rPr>
        <w:t>38.3</w:t>
      </w:r>
      <w:r>
        <w:rPr>
          <w:rFonts w:ascii="Times New Roman" w:hAnsi="Times New Roman" w:eastAsia="Times New Roman" w:cs="Times New Roman"/>
          <w:color w:val="231F20"/>
          <w:spacing w:val="-26"/>
        </w:rPr>
        <w:t xml:space="preserve"> </w:t>
      </w:r>
      <w:r>
        <w:rPr>
          <w:color w:val="231F20"/>
          <w:spacing w:val="12"/>
        </w:rPr>
        <w:t>万亿元</w:t>
      </w:r>
      <w:r>
        <w:rPr>
          <w:color w:val="231F20"/>
          <w:spacing w:val="11"/>
        </w:rPr>
        <w:t>，同比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>增长</w:t>
      </w:r>
      <w:r>
        <w:rPr>
          <w:rFonts w:ascii="Times New Roman" w:hAnsi="Times New Roman" w:eastAsia="Times New Roman" w:cs="Times New Roman"/>
          <w:color w:val="231F20"/>
          <w:spacing w:val="13"/>
        </w:rPr>
        <w:t>22.2%</w:t>
      </w:r>
      <w:r>
        <w:rPr>
          <w:color w:val="231F20"/>
          <w:spacing w:val="13"/>
        </w:rPr>
        <w:t>；背书金额</w:t>
      </w:r>
      <w:r>
        <w:rPr>
          <w:rFonts w:ascii="Times New Roman" w:hAnsi="Times New Roman" w:eastAsia="Times New Roman" w:cs="Times New Roman"/>
          <w:color w:val="231F20"/>
          <w:spacing w:val="13"/>
        </w:rPr>
        <w:t>69.8</w:t>
      </w:r>
      <w:r>
        <w:rPr>
          <w:color w:val="231F20"/>
          <w:spacing w:val="13"/>
        </w:rPr>
        <w:t>万亿元，同比增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3"/>
        </w:rPr>
        <w:t>长</w:t>
      </w:r>
      <w:r>
        <w:rPr>
          <w:rFonts w:ascii="Times New Roman" w:hAnsi="Times New Roman" w:eastAsia="Times New Roman" w:cs="Times New Roman"/>
          <w:color w:val="231F20"/>
          <w:spacing w:val="13"/>
        </w:rPr>
        <w:t>11.3%</w:t>
      </w:r>
      <w:r>
        <w:rPr>
          <w:color w:val="231F20"/>
          <w:spacing w:val="13"/>
        </w:rPr>
        <w:t>；贴现金额</w:t>
      </w:r>
      <w:r>
        <w:rPr>
          <w:rFonts w:ascii="Times New Roman" w:hAnsi="Times New Roman" w:eastAsia="Times New Roman" w:cs="Times New Roman"/>
          <w:color w:val="231F20"/>
          <w:spacing w:val="13"/>
        </w:rPr>
        <w:t>30.5</w:t>
      </w:r>
      <w:r>
        <w:rPr>
          <w:color w:val="231F20"/>
          <w:spacing w:val="13"/>
        </w:rPr>
        <w:t>万亿元，同比增长</w:t>
      </w:r>
      <w:r>
        <w:rPr>
          <w:color w:val="231F20"/>
          <w:spacing w:val="1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2</w:t>
      </w:r>
      <w:r>
        <w:rPr>
          <w:rFonts w:ascii="Times New Roman" w:hAnsi="Times New Roman" w:eastAsia="Times New Roman" w:cs="Times New Roman"/>
          <w:color w:val="231F20"/>
          <w:spacing w:val="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8</w:t>
      </w:r>
      <w:r>
        <w:rPr>
          <w:rFonts w:ascii="Times New Roman" w:hAnsi="Times New Roman" w:eastAsia="Times New Roman" w:cs="Times New Roman"/>
          <w:color w:val="231F20"/>
          <w:spacing w:val="-1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. 1</w:t>
      </w:r>
      <w:r>
        <w:rPr>
          <w:rFonts w:ascii="Times New Roman" w:hAnsi="Times New Roman" w:eastAsia="Times New Roman" w:cs="Times New Roman"/>
          <w:color w:val="231F20"/>
          <w:spacing w:val="-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%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  <w:spacing w:val="3"/>
        </w:rPr>
        <w:t>；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3"/>
        </w:rPr>
        <w:t>转贴现金额</w:t>
      </w:r>
      <w:r>
        <w:rPr>
          <w:rFonts w:ascii="Times New Roman" w:hAnsi="Times New Roman" w:eastAsia="Times New Roman" w:cs="Times New Roman"/>
          <w:color w:val="231F20"/>
          <w:spacing w:val="3"/>
        </w:rPr>
        <w:t>7</w:t>
      </w:r>
      <w:r>
        <w:rPr>
          <w:rFonts w:ascii="Times New Roman" w:hAnsi="Times New Roman" w:eastAsia="Times New Roman" w:cs="Times New Roman"/>
          <w:color w:val="231F20"/>
          <w:spacing w:val="-2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4</w:t>
      </w:r>
      <w:r>
        <w:rPr>
          <w:rFonts w:ascii="Times New Roman" w:hAnsi="Times New Roman" w:eastAsia="Times New Roman" w:cs="Times New Roman"/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.</w:t>
      </w:r>
      <w:r>
        <w:rPr>
          <w:rFonts w:ascii="Times New Roman" w:hAnsi="Times New Roman" w:eastAsia="Times New Roman" w:cs="Times New Roman"/>
          <w:color w:val="231F20"/>
          <w:spacing w:val="-2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4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  <w:spacing w:val="3"/>
        </w:rPr>
        <w:t>万亿元，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3"/>
        </w:rPr>
        <w:t>同比增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>长</w:t>
      </w:r>
      <w:r>
        <w:rPr>
          <w:rFonts w:ascii="Times New Roman" w:hAnsi="Times New Roman" w:eastAsia="Times New Roman" w:cs="Times New Roman"/>
          <w:color w:val="231F20"/>
          <w:spacing w:val="12"/>
        </w:rPr>
        <w:t>1</w:t>
      </w:r>
      <w:r>
        <w:rPr>
          <w:rFonts w:ascii="Times New Roman" w:hAnsi="Times New Roman" w:eastAsia="Times New Roman" w:cs="Times New Roman"/>
          <w:color w:val="231F20"/>
          <w:spacing w:val="-1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.</w:t>
      </w:r>
      <w:r>
        <w:rPr>
          <w:rFonts w:ascii="Times New Roman" w:hAnsi="Times New Roman" w:eastAsia="Times New Roman" w:cs="Times New Roman"/>
          <w:color w:val="231F20"/>
          <w:spacing w:val="-2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4% </w:t>
      </w:r>
      <w:r>
        <w:rPr>
          <w:color w:val="231F20"/>
          <w:spacing w:val="12"/>
        </w:rPr>
        <w:t>；回购金额</w:t>
      </w:r>
      <w:r>
        <w:rPr>
          <w:rFonts w:ascii="Times New Roman" w:hAnsi="Times New Roman" w:eastAsia="Times New Roman" w:cs="Times New Roman"/>
          <w:color w:val="231F20"/>
          <w:spacing w:val="12"/>
        </w:rPr>
        <w:t>28.9</w:t>
      </w:r>
      <w:r>
        <w:rPr>
          <w:rFonts w:ascii="Times New Roman" w:hAnsi="Times New Roman" w:eastAsia="Times New Roman" w:cs="Times New Roman"/>
          <w:color w:val="231F20"/>
          <w:spacing w:val="-26"/>
        </w:rPr>
        <w:t xml:space="preserve"> </w:t>
      </w:r>
      <w:r>
        <w:rPr>
          <w:color w:val="231F20"/>
          <w:spacing w:val="12"/>
        </w:rPr>
        <w:t>万亿元，同比下降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8.4%</w:t>
      </w:r>
      <w:r>
        <w:rPr>
          <w:color w:val="231F20"/>
        </w:rPr>
        <w:t>。截至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color w:val="231F20"/>
        </w:rPr>
        <w:t>年末，全市场承兑余</w:t>
      </w:r>
      <w:r>
        <w:rPr>
          <w:color w:val="231F20"/>
          <w:spacing w:val="-1"/>
        </w:rPr>
        <w:t>额</w:t>
      </w:r>
      <w:r>
        <w:rPr>
          <w:rFonts w:ascii="Times New Roman" w:hAnsi="Times New Roman" w:eastAsia="Times New Roman" w:cs="Times New Roman"/>
          <w:color w:val="231F20"/>
          <w:spacing w:val="-1"/>
        </w:rPr>
        <w:t>19.8</w:t>
      </w:r>
      <w:r>
        <w:rPr>
          <w:color w:val="231F20"/>
          <w:spacing w:val="-1"/>
        </w:rPr>
        <w:t>万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亿元，同比增长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6.5%</w:t>
      </w:r>
      <w:r>
        <w:rPr>
          <w:color w:val="231F20"/>
          <w:spacing w:val="-1"/>
        </w:rPr>
        <w:t>；贴现余额</w:t>
      </w:r>
      <w:r>
        <w:rPr>
          <w:rFonts w:ascii="Times New Roman" w:hAnsi="Times New Roman" w:eastAsia="Times New Roman" w:cs="Times New Roman"/>
          <w:color w:val="231F20"/>
          <w:spacing w:val="-1"/>
        </w:rPr>
        <w:t>14.8</w:t>
      </w:r>
      <w:r>
        <w:rPr>
          <w:color w:val="231F20"/>
          <w:spacing w:val="-1"/>
        </w:rPr>
        <w:t>万亿元，</w:t>
      </w:r>
      <w:r>
        <w:rPr>
          <w:color w:val="231F20"/>
          <w:spacing w:val="18"/>
          <w:w w:val="101"/>
        </w:rPr>
        <w:t xml:space="preserve"> </w:t>
      </w:r>
      <w:r>
        <w:rPr>
          <w:color w:val="231F20"/>
          <w:spacing w:val="1"/>
        </w:rPr>
        <w:t>同比增长</w:t>
      </w:r>
      <w:r>
        <w:rPr>
          <w:rFonts w:ascii="Times New Roman" w:hAnsi="Times New Roman" w:eastAsia="Times New Roman" w:cs="Times New Roman"/>
          <w:color w:val="231F20"/>
          <w:spacing w:val="1"/>
        </w:rPr>
        <w:t>11.7%</w:t>
      </w:r>
      <w:r>
        <w:rPr>
          <w:color w:val="231F20"/>
          <w:spacing w:val="1"/>
        </w:rPr>
        <w:t>。全年全市场贴现加权平均利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"/>
        </w:rPr>
        <w:t>率为</w:t>
      </w:r>
      <w:r>
        <w:rPr>
          <w:rFonts w:ascii="Times New Roman" w:hAnsi="Times New Roman" w:eastAsia="Times New Roman" w:cs="Times New Roman"/>
          <w:color w:val="231F20"/>
          <w:spacing w:val="2"/>
        </w:rPr>
        <w:t>1.51%</w:t>
      </w:r>
      <w:r>
        <w:rPr>
          <w:color w:val="231F20"/>
          <w:spacing w:val="2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2"/>
        </w:rPr>
        <w:t>27</w:t>
      </w:r>
      <w:r>
        <w:rPr>
          <w:color w:val="231F20"/>
          <w:spacing w:val="2"/>
        </w:rPr>
        <w:t>个基点；转贴现利率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2"/>
        </w:rPr>
        <w:t>为</w:t>
      </w:r>
      <w:r>
        <w:rPr>
          <w:rFonts w:ascii="Times New Roman" w:hAnsi="Times New Roman" w:eastAsia="Times New Roman" w:cs="Times New Roman"/>
          <w:color w:val="231F20"/>
          <w:spacing w:val="2"/>
        </w:rPr>
        <w:t>1.38%</w:t>
      </w:r>
      <w:r>
        <w:rPr>
          <w:color w:val="231F20"/>
          <w:spacing w:val="2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2"/>
        </w:rPr>
        <w:t>21</w:t>
      </w:r>
      <w:r>
        <w:rPr>
          <w:color w:val="231F20"/>
          <w:spacing w:val="2"/>
        </w:rPr>
        <w:t>个基点；质押式回购利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39" w:line="179" w:lineRule="auto"/>
        <w:rPr/>
      </w:pPr>
      <w:r>
        <w:rPr>
          <w:color w:val="231F20"/>
          <w:spacing w:val="-2"/>
        </w:rPr>
        <w:t>率为</w:t>
      </w:r>
      <w:r>
        <w:rPr>
          <w:rFonts w:ascii="Times New Roman" w:hAnsi="Times New Roman" w:eastAsia="Times New Roman" w:cs="Times New Roman"/>
          <w:color w:val="231F20"/>
          <w:spacing w:val="-2"/>
        </w:rPr>
        <w:t>1.79%</w:t>
      </w:r>
      <w:r>
        <w:rPr>
          <w:color w:val="231F20"/>
          <w:spacing w:val="-2"/>
        </w:rPr>
        <w:t>，同比下降</w:t>
      </w:r>
      <w:r>
        <w:rPr>
          <w:rFonts w:ascii="Times New Roman" w:hAnsi="Times New Roman" w:eastAsia="Times New Roman" w:cs="Times New Roman"/>
          <w:color w:val="231F20"/>
          <w:spacing w:val="-2"/>
        </w:rPr>
        <w:t>1</w:t>
      </w:r>
      <w:r>
        <w:rPr>
          <w:color w:val="231F20"/>
          <w:spacing w:val="-2"/>
        </w:rPr>
        <w:t>个基点。</w:t>
      </w:r>
    </w:p>
    <w:p>
      <w:pPr>
        <w:pStyle w:val="BodyText"/>
        <w:ind w:left="413"/>
        <w:spacing w:before="286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（七）人民币利率衍生品市场</w:t>
      </w:r>
    </w:p>
    <w:p>
      <w:pPr>
        <w:pStyle w:val="BodyText"/>
        <w:ind w:firstLine="427"/>
        <w:spacing w:before="256" w:line="249" w:lineRule="auto"/>
        <w:jc w:val="both"/>
        <w:rPr/>
      </w:pPr>
      <w:r>
        <w:rPr>
          <w:color w:val="231F20"/>
          <w:spacing w:val="3"/>
        </w:rPr>
        <w:t>利率互换市场平稳运行。  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年，人民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币利率互换（含标准利率互换）业务达成</w:t>
      </w:r>
      <w:r>
        <w:rPr>
          <w:rFonts w:ascii="Times New Roman" w:hAnsi="Times New Roman" w:eastAsia="Times New Roman" w:cs="Times New Roman"/>
          <w:color w:val="231F20"/>
        </w:rPr>
        <w:t>33.7</w:t>
      </w:r>
      <w:r>
        <w:rPr>
          <w:rFonts w:ascii="Times New Roman" w:hAnsi="Times New Roman" w:eastAsia="Times New Roman" w:cs="Times New Roman"/>
          <w:color w:val="231F20"/>
          <w:spacing w:val="12"/>
        </w:rPr>
        <w:t xml:space="preserve"> </w:t>
      </w:r>
      <w:r>
        <w:rPr>
          <w:color w:val="231F20"/>
        </w:rPr>
        <w:t>万笔，名义本金总额为</w:t>
      </w:r>
      <w:r>
        <w:rPr>
          <w:rFonts w:ascii="Times New Roman" w:hAnsi="Times New Roman" w:eastAsia="Times New Roman" w:cs="Times New Roman"/>
          <w:color w:val="231F20"/>
        </w:rPr>
        <w:t>36.0</w:t>
      </w:r>
      <w:r>
        <w:rPr>
          <w:color w:val="231F20"/>
        </w:rPr>
        <w:t>万亿元，较上年分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2"/>
        </w:rPr>
        <w:t>别下降</w:t>
      </w:r>
      <w:r>
        <w:rPr>
          <w:rFonts w:ascii="Times New Roman" w:hAnsi="Times New Roman" w:eastAsia="Times New Roman" w:cs="Times New Roman"/>
          <w:color w:val="231F20"/>
          <w:spacing w:val="2"/>
        </w:rPr>
        <w:t>4.4%</w:t>
      </w:r>
      <w:r>
        <w:rPr>
          <w:color w:val="231F20"/>
          <w:spacing w:val="2"/>
        </w:rPr>
        <w:t>和增长</w:t>
      </w:r>
      <w:r>
        <w:rPr>
          <w:rFonts w:ascii="Times New Roman" w:hAnsi="Times New Roman" w:eastAsia="Times New Roman" w:cs="Times New Roman"/>
          <w:color w:val="231F20"/>
          <w:spacing w:val="2"/>
        </w:rPr>
        <w:t>13.4%</w:t>
      </w:r>
      <w:r>
        <w:rPr>
          <w:color w:val="231F20"/>
          <w:spacing w:val="2"/>
        </w:rPr>
        <w:t>。从期限结构看，</w:t>
      </w:r>
      <w:r>
        <w:rPr>
          <w:color w:val="231F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2"/>
        </w:rPr>
        <w:t>1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3"/>
        </w:rPr>
        <w:t>年及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年期以下交易最为活跃，名义本金总额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3"/>
        </w:rPr>
        <w:t>约为</w:t>
      </w:r>
      <w:r>
        <w:rPr>
          <w:rFonts w:ascii="Times New Roman" w:hAnsi="Times New Roman" w:eastAsia="Times New Roman" w:cs="Times New Roman"/>
          <w:color w:val="231F20"/>
          <w:spacing w:val="3"/>
        </w:rPr>
        <w:t>26.0</w:t>
      </w:r>
      <w:r>
        <w:rPr>
          <w:color w:val="231F20"/>
          <w:spacing w:val="3"/>
        </w:rPr>
        <w:t>万亿元，占比</w:t>
      </w:r>
      <w:r>
        <w:rPr>
          <w:rFonts w:ascii="Times New Roman" w:hAnsi="Times New Roman" w:eastAsia="Times New Roman" w:cs="Times New Roman"/>
          <w:color w:val="231F20"/>
          <w:spacing w:val="3"/>
        </w:rPr>
        <w:t>72.2%</w:t>
      </w:r>
      <w:r>
        <w:rPr>
          <w:color w:val="231F20"/>
          <w:spacing w:val="3"/>
        </w:rPr>
        <w:t>。从参考利率来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9"/>
        </w:rPr>
        <w:t>看，人民币利率互换交易的浮动端参考利率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主要包括</w:t>
      </w:r>
      <w:r>
        <w:rPr>
          <w:rFonts w:ascii="Times New Roman" w:hAnsi="Times New Roman" w:eastAsia="Times New Roman" w:cs="Times New Roman"/>
          <w:color w:val="231F20"/>
          <w:spacing w:val="3"/>
        </w:rPr>
        <w:t>7</w:t>
      </w:r>
      <w:r>
        <w:rPr>
          <w:color w:val="231F20"/>
          <w:spacing w:val="3"/>
        </w:rPr>
        <w:t>天回购定盘利率、主要全国性银行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4"/>
        </w:rPr>
        <w:t>同业存单发行利率（</w:t>
      </w:r>
      <w:r>
        <w:rPr>
          <w:rFonts w:ascii="Times New Roman" w:hAnsi="Times New Roman" w:eastAsia="Times New Roman" w:cs="Times New Roman"/>
          <w:color w:val="231F20"/>
        </w:rPr>
        <w:t>PrimeNCD</w:t>
      </w:r>
      <w:r>
        <w:rPr>
          <w:color w:val="231F20"/>
          <w:spacing w:val="4"/>
        </w:rPr>
        <w:t>）和上海银行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"/>
        </w:rPr>
        <w:t>间同业拆借利率（</w:t>
      </w:r>
      <w:r>
        <w:rPr>
          <w:rFonts w:ascii="Times New Roman" w:hAnsi="Times New Roman" w:eastAsia="Times New Roman" w:cs="Times New Roman"/>
          <w:color w:val="231F20"/>
        </w:rPr>
        <w:t>Shibor</w:t>
      </w:r>
      <w:r>
        <w:rPr>
          <w:color w:val="231F20"/>
          <w:spacing w:val="5"/>
        </w:rPr>
        <w:t>），</w:t>
      </w:r>
      <w:r>
        <w:rPr>
          <w:color w:val="231F20"/>
          <w:spacing w:val="1"/>
        </w:rPr>
        <w:t>与之挂钩的利率 </w:t>
      </w:r>
      <w:r>
        <w:rPr>
          <w:color w:val="231F20"/>
        </w:rPr>
        <w:t>互换交易名义本金占比分别为</w:t>
      </w:r>
      <w:r>
        <w:rPr>
          <w:rFonts w:ascii="Times New Roman" w:hAnsi="Times New Roman" w:eastAsia="Times New Roman" w:cs="Times New Roman"/>
          <w:color w:val="231F20"/>
        </w:rPr>
        <w:t>87.9%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</w:rPr>
        <w:t>、</w:t>
      </w:r>
      <w:r>
        <w:rPr>
          <w:rFonts w:ascii="Times New Roman" w:hAnsi="Times New Roman" w:eastAsia="Times New Roman" w:cs="Times New Roman"/>
          <w:color w:val="231F20"/>
        </w:rPr>
        <w:t>8.5%</w:t>
      </w:r>
      <w:r>
        <w:rPr>
          <w:color w:val="231F20"/>
        </w:rPr>
        <w:t>和 </w:t>
      </w:r>
      <w:r>
        <w:rPr>
          <w:rFonts w:ascii="Times New Roman" w:hAnsi="Times New Roman" w:eastAsia="Times New Roman" w:cs="Times New Roman"/>
          <w:color w:val="231F20"/>
          <w:spacing w:val="9"/>
        </w:rPr>
        <w:t>3.0%</w:t>
      </w:r>
      <w:r>
        <w:rPr>
          <w:color w:val="231F20"/>
          <w:spacing w:val="9"/>
        </w:rPr>
        <w:t>。以贷款市场报价利率（</w:t>
      </w:r>
      <w:r>
        <w:rPr>
          <w:rFonts w:ascii="Times New Roman" w:hAnsi="Times New Roman" w:eastAsia="Times New Roman" w:cs="Times New Roman"/>
          <w:color w:val="231F20"/>
        </w:rPr>
        <w:t>LPR</w:t>
      </w:r>
      <w:r>
        <w:rPr>
          <w:color w:val="231F20"/>
          <w:spacing w:val="9"/>
        </w:rPr>
        <w:t>）为标的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5"/>
        </w:rPr>
        <w:t>的利率互换全年成交</w:t>
      </w:r>
      <w:r>
        <w:rPr>
          <w:rFonts w:ascii="Times New Roman" w:hAnsi="Times New Roman" w:eastAsia="Times New Roman" w:cs="Times New Roman"/>
          <w:color w:val="231F20"/>
          <w:spacing w:val="5"/>
        </w:rPr>
        <w:t>658</w:t>
      </w:r>
      <w:r>
        <w:rPr>
          <w:color w:val="231F20"/>
          <w:spacing w:val="5"/>
        </w:rPr>
        <w:t>笔，名义本金</w:t>
      </w:r>
      <w:r>
        <w:rPr>
          <w:rFonts w:ascii="Times New Roman" w:hAnsi="Times New Roman" w:eastAsia="Times New Roman" w:cs="Times New Roman"/>
          <w:color w:val="231F20"/>
          <w:spacing w:val="5"/>
        </w:rPr>
        <w:t>1097.6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8"/>
        </w:rPr>
        <w:t>亿元。对外开放方面，共有</w:t>
      </w:r>
      <w:r>
        <w:rPr>
          <w:rFonts w:ascii="Times New Roman" w:hAnsi="Times New Roman" w:eastAsia="Times New Roman" w:cs="Times New Roman"/>
          <w:color w:val="231F20"/>
          <w:spacing w:val="8"/>
        </w:rPr>
        <w:t>88</w:t>
      </w:r>
      <w:r>
        <w:rPr>
          <w:color w:val="231F20"/>
          <w:spacing w:val="8"/>
        </w:rPr>
        <w:t>家境外机构通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过“互换通”、直接入市渠道参与人民币利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率互换交易，名义本金</w:t>
      </w:r>
      <w:r>
        <w:rPr>
          <w:rFonts w:ascii="Times New Roman" w:hAnsi="Times New Roman" w:eastAsia="Times New Roman" w:cs="Times New Roman"/>
          <w:color w:val="231F20"/>
          <w:spacing w:val="-2"/>
        </w:rPr>
        <w:t>4.4</w:t>
      </w:r>
      <w:r>
        <w:rPr>
          <w:color w:val="231F20"/>
          <w:spacing w:val="-2"/>
        </w:rPr>
        <w:t>万亿元。</w:t>
      </w:r>
    </w:p>
    <w:p>
      <w:pPr>
        <w:pStyle w:val="BodyText"/>
        <w:ind w:right="1" w:firstLine="426"/>
        <w:spacing w:before="2" w:line="255" w:lineRule="auto"/>
        <w:jc w:val="both"/>
        <w:rPr/>
      </w:pPr>
      <w:r>
        <w:rPr>
          <w:color w:val="231F20"/>
          <w:spacing w:val="23"/>
        </w:rPr>
        <w:t>利率期权、标准债券远期业务平稳发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8"/>
        </w:rPr>
        <w:t>展。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年，人民币利率期权交易共计成交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306</w:t>
      </w:r>
      <w:r>
        <w:rPr>
          <w:color w:val="231F20"/>
        </w:rPr>
        <w:t>笔、名义本金</w:t>
      </w:r>
      <w:r>
        <w:rPr>
          <w:rFonts w:ascii="Times New Roman" w:hAnsi="Times New Roman" w:eastAsia="Times New Roman" w:cs="Times New Roman"/>
          <w:color w:val="231F20"/>
        </w:rPr>
        <w:t>614.5</w:t>
      </w:r>
      <w:r>
        <w:rPr>
          <w:color w:val="231F20"/>
        </w:rPr>
        <w:t>亿元。其中，利率互换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期权成交</w:t>
      </w:r>
      <w:r>
        <w:rPr>
          <w:rFonts w:ascii="Times New Roman" w:hAnsi="Times New Roman" w:eastAsia="Times New Roman" w:cs="Times New Roman"/>
          <w:color w:val="231F20"/>
        </w:rPr>
        <w:t>4</w:t>
      </w:r>
      <w:r>
        <w:rPr>
          <w:color w:val="231F20"/>
        </w:rPr>
        <w:t>笔、名义本金</w:t>
      </w:r>
      <w:r>
        <w:rPr>
          <w:rFonts w:ascii="Times New Roman" w:hAnsi="Times New Roman" w:eastAsia="Times New Roman" w:cs="Times New Roman"/>
          <w:color w:val="231F20"/>
        </w:rPr>
        <w:t>18</w:t>
      </w:r>
      <w:r>
        <w:rPr>
          <w:color w:val="231F20"/>
        </w:rPr>
        <w:t>亿元；利率上</w:t>
      </w:r>
      <w:r>
        <w:rPr>
          <w:rFonts w:ascii="Times New Roman" w:hAnsi="Times New Roman" w:eastAsia="Times New Roman" w:cs="Times New Roman"/>
          <w:color w:val="231F20"/>
        </w:rPr>
        <w:t>/</w:t>
      </w:r>
      <w:r>
        <w:rPr>
          <w:color w:val="231F20"/>
        </w:rPr>
        <w:t>下期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权成交</w:t>
      </w:r>
      <w:r>
        <w:rPr>
          <w:rFonts w:ascii="Times New Roman" w:hAnsi="Times New Roman" w:eastAsia="Times New Roman" w:cs="Times New Roman"/>
          <w:color w:val="231F20"/>
        </w:rPr>
        <w:t>302</w:t>
      </w:r>
      <w:r>
        <w:rPr>
          <w:color w:val="231F20"/>
        </w:rPr>
        <w:t>笔、名义本金</w:t>
      </w:r>
      <w:r>
        <w:rPr>
          <w:rFonts w:ascii="Times New Roman" w:hAnsi="Times New Roman" w:eastAsia="Times New Roman" w:cs="Times New Roman"/>
          <w:color w:val="231F20"/>
        </w:rPr>
        <w:t>596.5</w:t>
      </w:r>
      <w:r>
        <w:rPr>
          <w:color w:val="231F20"/>
        </w:rPr>
        <w:t>亿元。标准债券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远期共计成交</w:t>
      </w:r>
      <w:r>
        <w:rPr>
          <w:rFonts w:ascii="Times New Roman" w:hAnsi="Times New Roman" w:eastAsia="Times New Roman" w:cs="Times New Roman"/>
          <w:color w:val="231F20"/>
          <w:spacing w:val="-2"/>
        </w:rPr>
        <w:t>8050</w:t>
      </w:r>
      <w:r>
        <w:rPr>
          <w:color w:val="231F20"/>
          <w:spacing w:val="-2"/>
        </w:rPr>
        <w:t>笔，名义本金</w:t>
      </w:r>
      <w:r>
        <w:rPr>
          <w:rFonts w:ascii="Times New Roman" w:hAnsi="Times New Roman" w:eastAsia="Times New Roman" w:cs="Times New Roman"/>
          <w:color w:val="231F20"/>
          <w:spacing w:val="-2"/>
        </w:rPr>
        <w:t>1.1</w:t>
      </w:r>
      <w:r>
        <w:rPr>
          <w:color w:val="231F20"/>
          <w:spacing w:val="-2"/>
        </w:rPr>
        <w:t>万亿元。</w:t>
      </w:r>
    </w:p>
    <w:p>
      <w:pPr>
        <w:pStyle w:val="BodyText"/>
        <w:ind w:left="413"/>
        <w:spacing w:before="112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4"/>
        </w:rPr>
        <w:t>（八）黄金市场</w:t>
      </w:r>
    </w:p>
    <w:p>
      <w:pPr>
        <w:pStyle w:val="BodyText"/>
        <w:ind w:left="2" w:right="1" w:firstLine="428"/>
        <w:spacing w:before="245" w:line="208" w:lineRule="auto"/>
        <w:jc w:val="both"/>
        <w:rPr/>
      </w:pPr>
      <w:r>
        <w:rPr>
          <w:color w:val="231F20"/>
          <w:spacing w:val="23"/>
        </w:rPr>
        <w:t>黄金价格震荡上涨，交易规模大幅增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长。</w:t>
      </w:r>
      <w:r>
        <w:rPr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2024</w:t>
      </w:r>
      <w:r>
        <w:rPr>
          <w:color w:val="231F20"/>
          <w:spacing w:val="6"/>
        </w:rPr>
        <w:t>年末， 国际黄金价格收于</w:t>
      </w:r>
      <w:r>
        <w:rPr>
          <w:rFonts w:ascii="Times New Roman" w:hAnsi="Times New Roman" w:eastAsia="Times New Roman" w:cs="Times New Roman"/>
          <w:color w:val="231F20"/>
          <w:spacing w:val="6"/>
        </w:rPr>
        <w:t>2609.1</w:t>
      </w:r>
      <w:r>
        <w:rPr>
          <w:color w:val="231F20"/>
          <w:spacing w:val="6"/>
        </w:rPr>
        <w:t>美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元</w:t>
      </w:r>
      <w:r>
        <w:rPr>
          <w:rFonts w:ascii="Times New Roman" w:hAnsi="Times New Roman" w:eastAsia="Times New Roman" w:cs="Times New Roman"/>
          <w:color w:val="231F20"/>
          <w:spacing w:val="8"/>
        </w:rPr>
        <w:t>/</w:t>
      </w:r>
      <w:r>
        <w:rPr>
          <w:color w:val="231F20"/>
          <w:spacing w:val="8"/>
        </w:rPr>
        <w:t>盎司，较上年末上涨</w:t>
      </w:r>
      <w:r>
        <w:rPr>
          <w:rFonts w:ascii="Times New Roman" w:hAnsi="Times New Roman" w:eastAsia="Times New Roman" w:cs="Times New Roman"/>
          <w:color w:val="231F20"/>
          <w:spacing w:val="8"/>
        </w:rPr>
        <w:t>25.5%</w:t>
      </w:r>
      <w:r>
        <w:rPr>
          <w:color w:val="231F20"/>
          <w:spacing w:val="8"/>
        </w:rPr>
        <w:t>；上海黄金交</w:t>
      </w:r>
    </w:p>
    <w:p>
      <w:pPr>
        <w:spacing w:line="208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5" w:space="100"/>
            <w:col w:w="4164" w:space="0"/>
          </w:cols>
        </w:sectPr>
        <w:rPr/>
      </w:pPr>
    </w:p>
    <w:p>
      <w:pPr>
        <w:spacing w:before="155"/>
        <w:rPr/>
      </w:pPr>
      <w:r/>
    </w:p>
    <w:p>
      <w:pPr>
        <w:sectPr>
          <w:headerReference w:type="default" r:id="rId222"/>
          <w:pgSz w:w="11906" w:h="16158"/>
          <w:pgMar w:top="1383" w:right="1416" w:bottom="400" w:left="1703" w:header="1060" w:footer="0" w:gutter="0"/>
          <w:cols w:equalWidth="0" w:num="1">
            <w:col w:w="8786" w:space="0"/>
          </w:cols>
        </w:sectPr>
        <w:rPr/>
      </w:pPr>
    </w:p>
    <w:p>
      <w:pPr>
        <w:pStyle w:val="BodyText"/>
        <w:ind w:left="1" w:right="357" w:firstLine="4"/>
        <w:spacing w:before="44" w:line="250" w:lineRule="auto"/>
        <w:jc w:val="both"/>
        <w:rPr/>
      </w:pPr>
      <w:r>
        <w:rPr>
          <w:color w:val="231F20"/>
          <w:spacing w:val="7"/>
        </w:rPr>
        <w:t>易所</w:t>
      </w:r>
      <w:r>
        <w:rPr>
          <w:rFonts w:ascii="Times New Roman" w:hAnsi="Times New Roman" w:eastAsia="Times New Roman" w:cs="Times New Roman"/>
          <w:color w:val="231F20"/>
        </w:rPr>
        <w:t>Au</w:t>
      </w:r>
      <w:r>
        <w:rPr>
          <w:rFonts w:ascii="Times New Roman" w:hAnsi="Times New Roman" w:eastAsia="Times New Roman" w:cs="Times New Roman"/>
          <w:color w:val="231F20"/>
          <w:spacing w:val="7"/>
        </w:rPr>
        <w:t>99.99</w:t>
      </w:r>
      <w:r>
        <w:rPr>
          <w:color w:val="231F20"/>
          <w:spacing w:val="7"/>
        </w:rPr>
        <w:t>收于</w:t>
      </w:r>
      <w:r>
        <w:rPr>
          <w:rFonts w:ascii="Times New Roman" w:hAnsi="Times New Roman" w:eastAsia="Times New Roman" w:cs="Times New Roman"/>
          <w:color w:val="231F20"/>
          <w:spacing w:val="7"/>
        </w:rPr>
        <w:t>614.8</w:t>
      </w:r>
      <w:r>
        <w:rPr>
          <w:color w:val="231F20"/>
          <w:spacing w:val="7"/>
        </w:rPr>
        <w:t>元</w:t>
      </w:r>
      <w:r>
        <w:rPr>
          <w:rFonts w:ascii="Times New Roman" w:hAnsi="Times New Roman" w:eastAsia="Times New Roman" w:cs="Times New Roman"/>
          <w:color w:val="231F20"/>
          <w:spacing w:val="7"/>
        </w:rPr>
        <w:t>/</w:t>
      </w:r>
      <w:r>
        <w:rPr>
          <w:color w:val="231F20"/>
          <w:spacing w:val="7"/>
        </w:rPr>
        <w:t>克，较上年末上涨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28.2%</w:t>
      </w:r>
      <w:r>
        <w:rPr>
          <w:rFonts w:ascii="Times New Roman" w:hAnsi="Times New Roman" w:eastAsia="Times New Roman" w:cs="Times New Roman"/>
          <w:color w:val="231F20"/>
          <w:spacing w:val="-25"/>
        </w:rPr>
        <w:t xml:space="preserve"> </w:t>
      </w:r>
      <w:r>
        <w:rPr>
          <w:color w:val="231F20"/>
          <w:spacing w:val="1"/>
        </w:rPr>
        <w:t>。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年，上海黄金交易所黄</w:t>
      </w:r>
      <w:r>
        <w:rPr>
          <w:color w:val="231F20"/>
        </w:rPr>
        <w:t>金成交量 </w:t>
      </w:r>
      <w:r>
        <w:rPr>
          <w:rFonts w:ascii="Times New Roman" w:hAnsi="Times New Roman" w:eastAsia="Times New Roman" w:cs="Times New Roman"/>
          <w:color w:val="231F20"/>
          <w:spacing w:val="7"/>
        </w:rPr>
        <w:t>6.2</w:t>
      </w:r>
      <w:r>
        <w:rPr>
          <w:color w:val="231F20"/>
          <w:spacing w:val="7"/>
        </w:rPr>
        <w:t>万吨， 同比增长</w:t>
      </w:r>
      <w:r>
        <w:rPr>
          <w:rFonts w:ascii="Times New Roman" w:hAnsi="Times New Roman" w:eastAsia="Times New Roman" w:cs="Times New Roman"/>
          <w:color w:val="231F20"/>
          <w:spacing w:val="7"/>
        </w:rPr>
        <w:t>49.9%</w:t>
      </w:r>
      <w:r>
        <w:rPr>
          <w:color w:val="231F20"/>
          <w:spacing w:val="7"/>
        </w:rPr>
        <w:t>；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7"/>
        </w:rPr>
        <w:t>成交额</w:t>
      </w:r>
      <w:r>
        <w:rPr>
          <w:rFonts w:ascii="Times New Roman" w:hAnsi="Times New Roman" w:eastAsia="Times New Roman" w:cs="Times New Roman"/>
          <w:color w:val="231F20"/>
          <w:spacing w:val="7"/>
        </w:rPr>
        <w:t>34.7</w:t>
      </w:r>
      <w:r>
        <w:rPr>
          <w:color w:val="231F20"/>
          <w:spacing w:val="7"/>
        </w:rPr>
        <w:t>万亿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元，同比增长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86.7%</w:t>
      </w:r>
      <w:r>
        <w:rPr>
          <w:color w:val="231F20"/>
          <w:spacing w:val="-1"/>
        </w:rPr>
        <w:t>。</w:t>
      </w:r>
    </w:p>
    <w:p>
      <w:pPr>
        <w:pStyle w:val="BodyText"/>
        <w:ind w:right="356" w:firstLine="432"/>
        <w:spacing w:before="4" w:line="254" w:lineRule="auto"/>
        <w:rPr/>
      </w:pPr>
      <w:r>
        <w:rPr>
          <w:color w:val="231F20"/>
          <w:spacing w:val="23"/>
        </w:rPr>
        <w:t>黄金市场结构调整优化，国际业务持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0"/>
        </w:rPr>
        <w:t>续拓展，清算交割稳健有序。   </w:t>
      </w:r>
      <w:r>
        <w:rPr>
          <w:rFonts w:ascii="Times New Roman" w:hAnsi="Times New Roman" w:eastAsia="Times New Roman" w:cs="Times New Roman"/>
          <w:color w:val="231F20"/>
          <w:spacing w:val="10"/>
        </w:rPr>
        <w:t>2024</w:t>
      </w:r>
      <w:r>
        <w:rPr>
          <w:color w:val="231F20"/>
          <w:spacing w:val="10"/>
        </w:rPr>
        <w:t>年，上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6"/>
        </w:rPr>
        <w:t>海黄金交易所竞价成交</w:t>
      </w:r>
      <w:r>
        <w:rPr>
          <w:rFonts w:ascii="Times New Roman" w:hAnsi="Times New Roman" w:eastAsia="Times New Roman" w:cs="Times New Roman"/>
          <w:color w:val="231F20"/>
          <w:spacing w:val="16"/>
        </w:rPr>
        <w:t>7.7</w:t>
      </w:r>
      <w:r>
        <w:rPr>
          <w:color w:val="231F20"/>
          <w:spacing w:val="16"/>
        </w:rPr>
        <w:t>万亿元，同比增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7"/>
        </w:rPr>
        <w:t>长</w:t>
      </w:r>
      <w:r>
        <w:rPr>
          <w:rFonts w:ascii="Times New Roman" w:hAnsi="Times New Roman" w:eastAsia="Times New Roman" w:cs="Times New Roman"/>
          <w:color w:val="231F20"/>
          <w:spacing w:val="7"/>
        </w:rPr>
        <w:t>64.0%</w:t>
      </w:r>
      <w:r>
        <w:rPr>
          <w:color w:val="231F20"/>
          <w:spacing w:val="7"/>
        </w:rPr>
        <w:t>，市场占比</w:t>
      </w:r>
      <w:r>
        <w:rPr>
          <w:rFonts w:ascii="Times New Roman" w:hAnsi="Times New Roman" w:eastAsia="Times New Roman" w:cs="Times New Roman"/>
          <w:color w:val="231F20"/>
          <w:spacing w:val="7"/>
        </w:rPr>
        <w:t>21.6%</w:t>
      </w:r>
      <w:r>
        <w:rPr>
          <w:color w:val="231F20"/>
          <w:spacing w:val="7"/>
        </w:rPr>
        <w:t>；询价成交</w:t>
      </w:r>
      <w:r>
        <w:rPr>
          <w:rFonts w:ascii="Times New Roman" w:hAnsi="Times New Roman" w:eastAsia="Times New Roman" w:cs="Times New Roman"/>
          <w:color w:val="231F20"/>
          <w:spacing w:val="7"/>
        </w:rPr>
        <w:t>27.4</w:t>
      </w:r>
      <w:r>
        <w:rPr>
          <w:color w:val="231F20"/>
          <w:spacing w:val="7"/>
        </w:rPr>
        <w:t>万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4"/>
        </w:rPr>
        <w:t>亿元，同比增长</w:t>
      </w:r>
      <w:r>
        <w:rPr>
          <w:rFonts w:ascii="Times New Roman" w:hAnsi="Times New Roman" w:eastAsia="Times New Roman" w:cs="Times New Roman"/>
          <w:color w:val="231F20"/>
          <w:spacing w:val="14"/>
        </w:rPr>
        <w:t>93.0%</w:t>
      </w:r>
      <w:r>
        <w:rPr>
          <w:color w:val="231F20"/>
          <w:spacing w:val="14"/>
        </w:rPr>
        <w:t>，市场占比</w:t>
      </w:r>
      <w:r>
        <w:rPr>
          <w:rFonts w:ascii="Times New Roman" w:hAnsi="Times New Roman" w:eastAsia="Times New Roman" w:cs="Times New Roman"/>
          <w:color w:val="231F20"/>
          <w:spacing w:val="14"/>
        </w:rPr>
        <w:t>76.4%</w:t>
      </w:r>
      <w:r>
        <w:rPr>
          <w:color w:val="231F20"/>
          <w:spacing w:val="14"/>
        </w:rPr>
        <w:t>；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1"/>
        </w:rPr>
        <w:t>定价成交</w:t>
      </w:r>
      <w:r>
        <w:rPr>
          <w:rFonts w:ascii="Times New Roman" w:hAnsi="Times New Roman" w:eastAsia="Times New Roman" w:cs="Times New Roman"/>
          <w:color w:val="231F20"/>
          <w:spacing w:val="11"/>
        </w:rPr>
        <w:t>6960</w:t>
      </w:r>
      <w:r>
        <w:rPr>
          <w:color w:val="231F20"/>
          <w:spacing w:val="11"/>
        </w:rPr>
        <w:t>亿元，同比增长</w:t>
      </w:r>
      <w:r>
        <w:rPr>
          <w:rFonts w:ascii="Times New Roman" w:hAnsi="Times New Roman" w:eastAsia="Times New Roman" w:cs="Times New Roman"/>
          <w:color w:val="231F20"/>
          <w:spacing w:val="11"/>
        </w:rPr>
        <w:t>12.7%</w:t>
      </w:r>
      <w:r>
        <w:rPr>
          <w:color w:val="231F20"/>
          <w:spacing w:val="10"/>
        </w:rPr>
        <w:t>，占比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9"/>
        </w:rPr>
        <w:t>1.95%</w:t>
      </w:r>
      <w:r>
        <w:rPr>
          <w:color w:val="231F20"/>
          <w:spacing w:val="9"/>
        </w:rPr>
        <w:t>。上海黄金交易所国际板成交</w:t>
      </w:r>
      <w:r>
        <w:rPr>
          <w:rFonts w:ascii="Times New Roman" w:hAnsi="Times New Roman" w:eastAsia="Times New Roman" w:cs="Times New Roman"/>
          <w:color w:val="231F20"/>
          <w:spacing w:val="9"/>
        </w:rPr>
        <w:t>4.6</w:t>
      </w:r>
      <w:r>
        <w:rPr>
          <w:color w:val="231F20"/>
          <w:spacing w:val="9"/>
        </w:rPr>
        <w:t>万亿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2"/>
        </w:rPr>
        <w:t>元，同比增长</w:t>
      </w:r>
      <w:r>
        <w:rPr>
          <w:rFonts w:ascii="Times New Roman" w:hAnsi="Times New Roman" w:eastAsia="Times New Roman" w:cs="Times New Roman"/>
          <w:color w:val="231F20"/>
          <w:spacing w:val="12"/>
        </w:rPr>
        <w:t>81.2%</w:t>
      </w:r>
      <w:r>
        <w:rPr>
          <w:color w:val="231F20"/>
          <w:spacing w:val="12"/>
        </w:rPr>
        <w:t>。上海黄金交易所资金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7"/>
        </w:rPr>
        <w:t>全额清算量</w:t>
      </w:r>
      <w:r>
        <w:rPr>
          <w:rFonts w:ascii="Times New Roman" w:hAnsi="Times New Roman" w:eastAsia="Times New Roman" w:cs="Times New Roman"/>
          <w:color w:val="231F20"/>
          <w:spacing w:val="7"/>
        </w:rPr>
        <w:t>62.9</w:t>
      </w:r>
      <w:r>
        <w:rPr>
          <w:color w:val="231F20"/>
          <w:spacing w:val="7"/>
        </w:rPr>
        <w:t>万亿元，净额清算量</w:t>
      </w:r>
      <w:r>
        <w:rPr>
          <w:rFonts w:ascii="Times New Roman" w:hAnsi="Times New Roman" w:eastAsia="Times New Roman" w:cs="Times New Roman"/>
          <w:color w:val="231F20"/>
          <w:spacing w:val="7"/>
        </w:rPr>
        <w:t>7.8</w:t>
      </w:r>
      <w:r>
        <w:rPr>
          <w:color w:val="231F20"/>
          <w:spacing w:val="7"/>
        </w:rPr>
        <w:t>万亿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元，同比分别增长</w:t>
      </w:r>
      <w:r>
        <w:rPr>
          <w:rFonts w:ascii="Times New Roman" w:hAnsi="Times New Roman" w:eastAsia="Times New Roman" w:cs="Times New Roman"/>
          <w:color w:val="231F20"/>
          <w:spacing w:val="-1"/>
        </w:rPr>
        <w:t>92.9%</w:t>
      </w:r>
      <w:r>
        <w:rPr>
          <w:color w:val="231F20"/>
          <w:spacing w:val="-1"/>
        </w:rPr>
        <w:t>和</w:t>
      </w:r>
      <w:r>
        <w:rPr>
          <w:rFonts w:ascii="Times New Roman" w:hAnsi="Times New Roman" w:eastAsia="Times New Roman" w:cs="Times New Roman"/>
          <w:color w:val="231F20"/>
          <w:spacing w:val="-1"/>
        </w:rPr>
        <w:t>39.9%</w:t>
      </w:r>
      <w:r>
        <w:rPr>
          <w:color w:val="231F20"/>
          <w:spacing w:val="-1"/>
        </w:rPr>
        <w:t>。</w:t>
      </w:r>
    </w:p>
    <w:p>
      <w:pPr>
        <w:pStyle w:val="BodyText"/>
        <w:ind w:left="478"/>
        <w:spacing w:before="406" w:line="172" w:lineRule="auto"/>
        <w:outlineLvl w:val="0"/>
        <w:rPr>
          <w:sz w:val="28"/>
          <w:szCs w:val="28"/>
        </w:rPr>
      </w:pPr>
      <w:bookmarkStart w:name="bookmark11" w:id="38"/>
      <w:bookmarkEnd w:id="38"/>
      <w:r>
        <w:rPr>
          <w:sz w:val="28"/>
          <w:szCs w:val="28"/>
          <w:color w:val="174B8B"/>
          <w:spacing w:val="-2"/>
        </w:rPr>
        <w:t>二、金融市场制度建设</w:t>
      </w:r>
    </w:p>
    <w:p>
      <w:pPr>
        <w:pStyle w:val="BodyText"/>
        <w:ind w:left="1" w:right="356" w:firstLine="426"/>
        <w:spacing w:before="438" w:line="241" w:lineRule="auto"/>
        <w:rPr/>
      </w:pPr>
      <w:r>
        <w:rPr>
          <w:color w:val="231F20"/>
          <w:spacing w:val="12"/>
        </w:rPr>
        <w:t>稳步推进金融市场双向开放。   一是债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9"/>
        </w:rPr>
        <w:t>券市场对外开放稳步推进。落地优化“债券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8"/>
        </w:rPr>
        <w:t>通”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8"/>
        </w:rPr>
        <w:t>一揽子措施，将“债券通”项下人民币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债券纳入香港金融管理局人民币流动资金安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排的合格抵押品，支持境外机构使用债券通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“北向通”债券缴纳“互换通”保证金，推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动人民币债券成为离岸市场合格担保品；优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化“互换通”机制安排，上线更标准化的利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率互换合约、合约压缩服务，推出简化版主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协议，稳妥推进衍生品市场对外开放；推出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面向英国等地境外投资者的柜台债券业务。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9"/>
        </w:rPr>
        <w:t>二是提升境外机构投资者投资资本市场便利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化水平。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7</w:t>
      </w:r>
      <w:r>
        <w:rPr>
          <w:color w:val="231F20"/>
          <w:spacing w:val="3"/>
        </w:rPr>
        <w:t>月，中国人民银行、国家外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4"/>
        <w:spacing w:before="42" w:line="251" w:lineRule="auto"/>
        <w:jc w:val="both"/>
        <w:rPr/>
      </w:pPr>
      <w:r>
        <w:rPr>
          <w:color w:val="231F20"/>
          <w:spacing w:val="8"/>
        </w:rPr>
        <w:t>汇局联合修订发布《境外机构投资者境内证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9"/>
        </w:rPr>
        <w:t>券期货投资资金管理规定》，进一步简化境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3"/>
        </w:rPr>
        <w:t>外机构投资者（</w:t>
      </w:r>
      <w:r>
        <w:rPr>
          <w:rFonts w:ascii="Times New Roman" w:hAnsi="Times New Roman" w:eastAsia="Times New Roman" w:cs="Times New Roman"/>
          <w:color w:val="231F20"/>
        </w:rPr>
        <w:t>QFII</w:t>
      </w:r>
      <w:r>
        <w:rPr>
          <w:rFonts w:ascii="Times New Roman" w:hAnsi="Times New Roman" w:eastAsia="Times New Roman" w:cs="Times New Roman"/>
          <w:color w:val="231F20"/>
          <w:spacing w:val="13"/>
        </w:rPr>
        <w:t>/</w:t>
      </w:r>
      <w:r>
        <w:rPr>
          <w:rFonts w:ascii="Times New Roman" w:hAnsi="Times New Roman" w:eastAsia="Times New Roman" w:cs="Times New Roman"/>
          <w:color w:val="231F20"/>
        </w:rPr>
        <w:t>RQFII</w:t>
      </w:r>
      <w:r>
        <w:rPr>
          <w:color w:val="231F20"/>
          <w:spacing w:val="13"/>
        </w:rPr>
        <w:t>）机构资金登记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9"/>
        </w:rPr>
        <w:t>手续、优化账户管理、完善即期结售汇和外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汇衍生品管理。</w:t>
      </w:r>
      <w:r>
        <w:rPr>
          <w:color w:val="231F20"/>
          <w:spacing w:val="4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11</w:t>
      </w:r>
      <w:r>
        <w:rPr>
          <w:color w:val="231F20"/>
          <w:spacing w:val="4"/>
        </w:rPr>
        <w:t>月，商务部等六部门修订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发布《外国投资者对上市公司战略投资管理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办法》，从放宽外国投资者资产要求、降低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持股比例和持股锁定期等方面降低外国投资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者投资门槛，拓宽外资投资证券市场渠道，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鼓励外资开展长期投资、价值投资。三是推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进资本市场双向开放。中国证监会发布放宽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沪深港通下股票交易型开放式指数证券投资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基金（</w:t>
      </w:r>
      <w:r>
        <w:rPr>
          <w:rFonts w:ascii="Times New Roman" w:hAnsi="Times New Roman" w:eastAsia="Times New Roman" w:cs="Times New Roman"/>
          <w:color w:val="231F20"/>
        </w:rPr>
        <w:t>ETF</w:t>
      </w:r>
      <w:r>
        <w:rPr>
          <w:color w:val="231F20"/>
        </w:rPr>
        <w:t>）合格产品范围、将不动产投资信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"/>
        </w:rPr>
        <w:t>托基金（</w:t>
      </w:r>
      <w:r>
        <w:rPr>
          <w:rFonts w:ascii="Times New Roman" w:hAnsi="Times New Roman" w:eastAsia="Times New Roman" w:cs="Times New Roman"/>
          <w:color w:val="231F20"/>
        </w:rPr>
        <w:t>REITs</w:t>
      </w:r>
      <w:r>
        <w:rPr>
          <w:color w:val="231F20"/>
          <w:spacing w:val="1"/>
        </w:rPr>
        <w:t>）纳入沪深港通、支持人民币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股票交易柜台纳入港股通、优化基金互认安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排、支持内地行业龙头企业赴香港上市等</w:t>
      </w:r>
      <w:r>
        <w:rPr>
          <w:rFonts w:ascii="Times New Roman" w:hAnsi="Times New Roman" w:eastAsia="Times New Roman" w:cs="Times New Roman"/>
          <w:color w:val="231F20"/>
          <w:spacing w:val="3"/>
        </w:rPr>
        <w:t>5</w:t>
      </w:r>
      <w:r>
        <w:rPr>
          <w:color w:val="231F20"/>
          <w:spacing w:val="3"/>
        </w:rPr>
        <w:t>项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资本市场对港合作措施，助力香港巩固提升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国际金融中心地位，促进两地资本市场协同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发展。</w:t>
      </w:r>
    </w:p>
    <w:p>
      <w:pPr>
        <w:pStyle w:val="BodyText"/>
        <w:ind w:left="4" w:firstLine="422"/>
        <w:spacing w:before="14" w:line="239" w:lineRule="auto"/>
        <w:jc w:val="both"/>
        <w:rPr/>
      </w:pPr>
      <w:r>
        <w:rPr>
          <w:color w:val="231F20"/>
          <w:spacing w:val="1"/>
        </w:rPr>
        <w:t>进一步推动债券市场规范健康发展。   一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是强化债券市场风险监测和监管执法。  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rFonts w:ascii="Times New Roman" w:hAnsi="Times New Roman" w:eastAsia="Times New Roman" w:cs="Times New Roman"/>
          <w:color w:val="231F20"/>
          <w:spacing w:val="2"/>
        </w:rPr>
        <w:t xml:space="preserve"> 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7</w:t>
      </w:r>
      <w:r>
        <w:rPr>
          <w:color w:val="231F20"/>
          <w:spacing w:val="3"/>
        </w:rPr>
        <w:t>月，中国人民银行发布《关于加强银行间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6"/>
        </w:rPr>
        <w:t>债券市场监督管理提高执法效率的通知》，</w:t>
      </w:r>
      <w:r>
        <w:rPr>
          <w:color w:val="231F20"/>
          <w:spacing w:val="8"/>
        </w:rPr>
        <w:t xml:space="preserve">  </w:t>
      </w:r>
      <w:r>
        <w:rPr>
          <w:color w:val="231F20"/>
          <w:spacing w:val="8"/>
        </w:rPr>
        <w:t>明确了金融基础设施、交易商协会、中国人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8"/>
        </w:rPr>
        <w:t>民银行及其分支机构在管理银行间债券市场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8"/>
        </w:rPr>
        <w:t>的职责分工，以及债券违法违规行为线索发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8"/>
        </w:rPr>
        <w:t>现、移交、处罚程序等，健全银行间债券市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20"/>
        </w:rPr>
        <w:t>场自律管理、行政监管和统一执法闭环机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8"/>
        </w:rPr>
        <w:t>制，严肃查处一批违法违规机构。二是进一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步规范柜台债券业务。</w:t>
      </w:r>
      <w:r>
        <w:rPr>
          <w:color w:val="231F20"/>
          <w:spacing w:val="-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2</w:t>
      </w:r>
      <w:r>
        <w:rPr>
          <w:color w:val="231F20"/>
          <w:spacing w:val="1"/>
        </w:rPr>
        <w:t>月，中国人民</w:t>
      </w:r>
    </w:p>
    <w:p>
      <w:pPr>
        <w:spacing w:line="239" w:lineRule="auto"/>
        <w:sectPr>
          <w:type w:val="continuous"/>
          <w:pgSz w:w="11906" w:h="16158"/>
          <w:pgMar w:top="1383" w:right="1416" w:bottom="400" w:left="1703" w:header="1060" w:footer="0" w:gutter="0"/>
          <w:cols w:equalWidth="0" w:num="2">
            <w:col w:w="4522" w:space="100"/>
            <w:col w:w="4164" w:space="0"/>
          </w:cols>
        </w:sectPr>
        <w:rPr/>
      </w:pPr>
    </w:p>
    <w:p>
      <w:pPr>
        <w:pStyle w:val="BodyText"/>
        <w:spacing w:line="308" w:lineRule="auto"/>
        <w:rPr/>
      </w:pPr>
      <w:r/>
    </w:p>
    <w:p>
      <w:pPr>
        <w:pStyle w:val="BodyText"/>
        <w:ind w:left="3" w:right="4620" w:firstLine="2"/>
        <w:spacing w:before="101" w:line="249" w:lineRule="auto"/>
        <w:jc w:val="both"/>
        <w:rPr/>
      </w:pPr>
      <w:r>
        <w:pict>
          <v:shape id="_x0000_s148" style="position:absolute;margin-left:230.244pt;margin-top:4.07428pt;mso-position-vertical-relative:text;mso-position-horizontal-relative:text;width:210.2pt;height:333.25pt;z-index:2521825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2"/>
                    <w:spacing w:before="20" w:line="249" w:lineRule="auto"/>
                    <w:jc w:val="both"/>
                    <w:rPr/>
                  </w:pPr>
                  <w:r>
                    <w:rPr>
                      <w:color w:val="231F20"/>
                      <w:spacing w:val="8"/>
                    </w:rPr>
                    <w:t>事宜的通知》，明确供应链金融发展内涵方</w:t>
                  </w:r>
                  <w:r>
                    <w:rPr>
                      <w:color w:val="231F20"/>
                      <w:spacing w:val="16"/>
                      <w:w w:val="101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向，健全应收账款电子凭证业务规范管理框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架，防范潜在金融风险，切实保障中小企业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权益，提升金融服务实体经济质效。</w:t>
                  </w:r>
                </w:p>
                <w:p>
                  <w:pPr>
                    <w:pStyle w:val="BodyText"/>
                    <w:ind w:left="23" w:right="20" w:firstLine="424"/>
                    <w:spacing w:before="1" w:line="258" w:lineRule="auto"/>
                    <w:jc w:val="both"/>
                    <w:rPr/>
                  </w:pPr>
                  <w:r>
                    <w:rPr>
                      <w:color w:val="231F20"/>
                      <w:spacing w:val="1"/>
                    </w:rPr>
                    <w:t>推动衍生品市场持续发展。   稳步推动衍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8"/>
                    </w:rPr>
                    <w:t>生品市场业务创新和配套机制安排。丰富衍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  <w:spacing w:val="8"/>
                    </w:rPr>
                    <w:t>生品挂钩标的和期限。落地单一合约压缩机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制，压降市场参与者名义本金占用。</w:t>
                  </w:r>
                </w:p>
                <w:p>
                  <w:pPr>
                    <w:pStyle w:val="BodyText"/>
                    <w:ind w:left="501"/>
                    <w:spacing w:before="407" w:line="174" w:lineRule="auto"/>
                    <w:outlineLvl w:val="0"/>
                    <w:rPr>
                      <w:sz w:val="28"/>
                      <w:szCs w:val="28"/>
                    </w:rPr>
                  </w:pPr>
                  <w:bookmarkStart w:name="bookmark12" w:id="39"/>
                  <w:bookmarkEnd w:id="39"/>
                  <w:r>
                    <w:rPr>
                      <w:sz w:val="28"/>
                      <w:szCs w:val="28"/>
                      <w:color w:val="174B8B"/>
                      <w:spacing w:val="-2"/>
                    </w:rPr>
                    <w:t>三、金融市场稳健性评估</w:t>
                  </w:r>
                </w:p>
                <w:p>
                  <w:pPr>
                    <w:pStyle w:val="BodyText"/>
                    <w:ind w:left="20" w:right="20" w:firstLine="424"/>
                    <w:spacing w:before="427" w:line="238" w:lineRule="auto"/>
                    <w:jc w:val="both"/>
                    <w:rPr/>
                  </w:pPr>
                  <w:r>
                    <w:rPr>
                      <w:color w:val="231F20"/>
                      <w:spacing w:val="3"/>
                    </w:rPr>
                    <w:t>金融市场运行总体稳健。 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3"/>
                    </w:rPr>
                    <w:t>2024</w:t>
                  </w:r>
                  <w:r>
                    <w:rPr>
                      <w:color w:val="231F20"/>
                      <w:spacing w:val="3"/>
                    </w:rPr>
                    <w:t>年金融市</w:t>
                  </w:r>
                  <w:r>
                    <w:rPr>
                      <w:color w:val="231F20"/>
                      <w:spacing w:val="9"/>
                    </w:rPr>
                    <w:t xml:space="preserve"> </w:t>
                  </w:r>
                  <w:r>
                    <w:rPr>
                      <w:color w:val="231F20"/>
                      <w:spacing w:val="7"/>
                    </w:rPr>
                    <w:t>场压力指数整体处于温和水平。具体来看，</w:t>
                  </w:r>
                  <w:r>
                    <w:rPr>
                      <w:color w:val="231F20"/>
                    </w:rPr>
                    <w:t xml:space="preserve">  </w:t>
                  </w:r>
                  <w:r>
                    <w:rPr>
                      <w:color w:val="231F20"/>
                      <w:spacing w:val="9"/>
                    </w:rPr>
                    <w:t>股票市场压力呈现震荡波动，货币市场压力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保持平稳，债券市场压力波动加大，外汇市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1"/>
                    </w:rPr>
                    <w:t>场压力先下降后上升（见图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1"/>
                    </w:rPr>
                    <w:t>4</w:t>
                  </w:r>
                  <w:r>
                    <w:rPr>
                      <w:color w:val="231F20"/>
                      <w:spacing w:val="1"/>
                    </w:rPr>
                    <w:t>-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1"/>
                    </w:rPr>
                    <w:t>6</w:t>
                  </w:r>
                  <w:r>
                    <w:rPr>
                      <w:color w:val="231F20"/>
                      <w:spacing w:val="1"/>
                    </w:rPr>
                    <w:t>）。</w:t>
                  </w:r>
                </w:p>
              </w:txbxContent>
            </v:textbox>
          </v:shape>
        </w:pict>
      </w:r>
      <w:r>
        <w:rPr>
          <w:color w:val="231F20"/>
          <w:spacing w:val="9"/>
        </w:rPr>
        <w:t>银行发布《关于银行间债券市场柜台业务有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关事项的通知》，明确柜台业务品种和交易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方式，优化对投资者开户的管理规则，推动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柜台债券业务稳步扩容，拓宽居民财产性收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入渠道，加快多层次债券市场发展。</w:t>
      </w:r>
    </w:p>
    <w:p>
      <w:pPr>
        <w:pStyle w:val="BodyText"/>
        <w:ind w:left="3" w:right="4620" w:firstLine="430"/>
        <w:spacing w:before="16" w:line="249" w:lineRule="auto"/>
        <w:jc w:val="both"/>
        <w:rPr/>
      </w:pPr>
      <w:r>
        <w:pict>
          <v:shape id="_x0000_s150" style="position:absolute;margin-left:230.223pt;margin-top:388.906pt;mso-position-vertical-relative:text;mso-position-horizontal-relative:text;width:210.2pt;height:130.2pt;z-index:25218457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86"/>
                    <w:spacing w:before="20" w:line="204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31F20"/>
                      <w:spacing w:val="2"/>
                    </w:rPr>
                    <w:t>图4-6    2015—2024年金融市场压力指数</w:t>
                  </w:r>
                </w:p>
                <w:p>
                  <w:pPr>
                    <w:pStyle w:val="BodyText"/>
                    <w:ind w:left="921"/>
                    <w:spacing w:before="28" w:line="19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31F20"/>
                      <w:spacing w:val="1"/>
                    </w:rPr>
                    <w:t>（数据来源：中国人民银行）</w:t>
                  </w:r>
                </w:p>
                <w:p>
                  <w:pPr>
                    <w:pStyle w:val="BodyText"/>
                    <w:ind w:left="20" w:right="20" w:firstLine="427"/>
                    <w:spacing w:before="389" w:line="236" w:lineRule="auto"/>
                    <w:rPr/>
                  </w:pPr>
                  <w:r>
                    <w:rPr>
                      <w:color w:val="231F20"/>
                      <w:spacing w:val="8"/>
                    </w:rPr>
                    <w:t>股票市场压力指数呈现“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color w:val="231F20"/>
                      <w:spacing w:val="8"/>
                    </w:rPr>
                    <w:t>M</w:t>
                  </w:r>
                  <w:r>
                    <w:rPr>
                      <w:color w:val="231F20"/>
                      <w:spacing w:val="8"/>
                    </w:rPr>
                    <w:t>”形波动。</w:t>
                  </w:r>
                  <w:r>
                    <w:rPr>
                      <w:color w:val="231F20"/>
                      <w:spacing w:val="4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3"/>
                    </w:rPr>
                    <w:t>2024</w:t>
                  </w:r>
                  <w:r>
                    <w:rPr>
                      <w:color w:val="231F20"/>
                      <w:spacing w:val="3"/>
                    </w:rPr>
                    <w:t>年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3"/>
                    </w:rPr>
                    <w:t>1</w:t>
                  </w:r>
                  <w:r>
                    <w:rPr>
                      <w:color w:val="231F20"/>
                      <w:spacing w:val="3"/>
                    </w:rPr>
                    <w:t>月，受市场预期、雪球产品爆雷等因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素影响，股价大幅下跌，股票市场压力指数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上升。伴随着新“国九条”发布、央行降息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83552" behindDoc="0" locked="0" layoutInCell="1" allowOverlap="1">
            <wp:simplePos x="0" y="0"/>
            <wp:positionH relativeFrom="column">
              <wp:posOffset>2976867</wp:posOffset>
            </wp:positionH>
            <wp:positionV relativeFrom="paragraph">
              <wp:posOffset>3191963</wp:posOffset>
            </wp:positionV>
            <wp:extent cx="2560269" cy="1661773"/>
            <wp:effectExtent l="0" t="0" r="0" b="0"/>
            <wp:wrapNone/>
            <wp:docPr id="444" name="IM 444"/>
            <wp:cNvGraphicFramePr/>
            <a:graphic>
              <a:graphicData uri="http://schemas.openxmlformats.org/drawingml/2006/picture">
                <pic:pic>
                  <pic:nvPicPr>
                    <pic:cNvPr id="444" name="IM 444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0269" cy="1661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1"/>
        </w:rPr>
        <w:t>持续完善资本市场制度体系建设。   一是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健全资本市场基础性制度。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4</w:t>
      </w:r>
      <w:r>
        <w:rPr>
          <w:color w:val="231F20"/>
        </w:rPr>
        <w:t>月，国务 </w:t>
      </w:r>
      <w:r>
        <w:rPr>
          <w:color w:val="231F20"/>
          <w:spacing w:val="9"/>
        </w:rPr>
        <w:t>院印发《关于加强监管防范风险推动资本市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场高质量发展的若干意见》，分别从发行监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管、上市公司监管、退市监管、证券基金机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构监管、交易监管、中长期资金入市、程序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化交易等方面作出明确规定。中国证监会会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8"/>
        </w:rPr>
        <w:t>同相关部门出台</w:t>
      </w:r>
      <w:r>
        <w:rPr>
          <w:rFonts w:ascii="Times New Roman" w:hAnsi="Times New Roman" w:eastAsia="Times New Roman" w:cs="Times New Roman"/>
          <w:color w:val="231F20"/>
          <w:spacing w:val="8"/>
        </w:rPr>
        <w:t>50</w:t>
      </w:r>
      <w:r>
        <w:rPr>
          <w:color w:val="231F20"/>
          <w:spacing w:val="8"/>
        </w:rPr>
        <w:t>多项配套制度规则，完善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资本市场“</w:t>
      </w:r>
      <w:r>
        <w:rPr>
          <w:rFonts w:ascii="Times New Roman" w:hAnsi="Times New Roman" w:eastAsia="Times New Roman" w:cs="Times New Roman"/>
          <w:color w:val="231F20"/>
        </w:rPr>
        <w:t>1+N</w:t>
      </w:r>
      <w:r>
        <w:rPr>
          <w:color w:val="231F20"/>
        </w:rPr>
        <w:t>”政策体系。二是创新货币政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策工具支持资本市场稳健发展。中国人民银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行创设证券、基金、保险公司互换便利与股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票回购增持再贷款两项货币政策工具，维护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资本市场稳定，提振投资者信心。三是资本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市场支持现代化产业体系力度增强。中国证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监会先后发布《资本市场服务科技企业高水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平发展的十六项措施》《关于深化科创板改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革服务科技创新和新质生产力发展的八条措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施》《关于深化上市公司并购重组市场改革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的意见》，加大对新产业新业态新技术的支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7"/>
        </w:rPr>
        <w:t>持力度。</w:t>
      </w:r>
    </w:p>
    <w:p>
      <w:pPr>
        <w:pStyle w:val="BodyText"/>
        <w:ind w:left="4" w:right="4620" w:firstLine="424"/>
        <w:spacing w:before="1" w:line="257" w:lineRule="auto"/>
        <w:rPr/>
      </w:pPr>
      <w:r>
        <w:rPr>
          <w:color w:val="231F20"/>
          <w:spacing w:val="1"/>
        </w:rPr>
        <w:t>规范供应链金融业务。</w:t>
      </w:r>
      <w:r>
        <w:rPr>
          <w:color w:val="231F20"/>
          <w:spacing w:val="-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2025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4</w:t>
      </w:r>
      <w:r>
        <w:rPr>
          <w:color w:val="231F20"/>
          <w:spacing w:val="1"/>
        </w:rPr>
        <w:t>月，中国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人民银行、金融监管总局、最高人民法院、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国家发展改革委、商务部、市场监管总局联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合发布《关于规范供应链金融业务  引导供应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9"/>
        </w:rPr>
        <w:t>链信息服务机构更好服务中小企业融资有关</w:t>
      </w:r>
    </w:p>
    <w:p>
      <w:pPr>
        <w:spacing w:line="257" w:lineRule="auto"/>
        <w:sectPr>
          <w:headerReference w:type="default" r:id="rId223"/>
          <w:pgSz w:w="11906" w:h="16158"/>
          <w:pgMar w:top="1367" w:right="1700" w:bottom="400" w:left="1417" w:header="1044" w:footer="0" w:gutter="0"/>
        </w:sectPr>
        <w:rPr/>
      </w:pPr>
    </w:p>
    <w:p>
      <w:pPr>
        <w:pStyle w:val="BodyText"/>
        <w:spacing w:line="299" w:lineRule="auto"/>
        <w:rPr/>
      </w:pPr>
      <w:r>
        <w:drawing>
          <wp:anchor distT="0" distB="0" distL="0" distR="0" simplePos="0" relativeHeight="252192768" behindDoc="0" locked="0" layoutInCell="1" allowOverlap="1">
            <wp:simplePos x="0" y="0"/>
            <wp:positionH relativeFrom="column">
              <wp:posOffset>2967299</wp:posOffset>
            </wp:positionH>
            <wp:positionV relativeFrom="paragraph">
              <wp:posOffset>365844</wp:posOffset>
            </wp:positionV>
            <wp:extent cx="2585174" cy="1703052"/>
            <wp:effectExtent l="0" t="0" r="0" b="0"/>
            <wp:wrapNone/>
            <wp:docPr id="446" name="IM 446"/>
            <wp:cNvGraphicFramePr/>
            <a:graphic>
              <a:graphicData uri="http://schemas.openxmlformats.org/drawingml/2006/picture">
                <pic:pic>
                  <pic:nvPicPr>
                    <pic:cNvPr id="446" name="IM 446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85174" cy="1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pStyle w:val="BodyText"/>
        <w:ind w:left="1" w:right="4620" w:firstLine="5"/>
        <w:spacing w:before="101" w:line="255" w:lineRule="auto"/>
        <w:jc w:val="both"/>
        <w:rPr/>
      </w:pPr>
      <w:r>
        <w:drawing>
          <wp:anchor distT="0" distB="0" distL="0" distR="0" simplePos="0" relativeHeight="252193792" behindDoc="0" locked="0" layoutInCell="1" allowOverlap="1">
            <wp:simplePos x="0" y="0"/>
            <wp:positionH relativeFrom="column">
              <wp:posOffset>41257</wp:posOffset>
            </wp:positionH>
            <wp:positionV relativeFrom="paragraph">
              <wp:posOffset>1843625</wp:posOffset>
            </wp:positionV>
            <wp:extent cx="2560269" cy="1595137"/>
            <wp:effectExtent l="0" t="0" r="0" b="0"/>
            <wp:wrapNone/>
            <wp:docPr id="448" name="IM 448"/>
            <wp:cNvGraphicFramePr/>
            <a:graphic>
              <a:graphicData uri="http://schemas.openxmlformats.org/drawingml/2006/picture">
                <pic:pic>
                  <pic:nvPicPr>
                    <pic:cNvPr id="448" name="IM 448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0269" cy="159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bookmark51" w:id="40"/>
      <w:bookmarkEnd w:id="40"/>
      <w:r>
        <w:rPr>
          <w:color w:val="231F20"/>
          <w:spacing w:val="8"/>
        </w:rPr>
        <w:t>等一系列政策的出台，压力指数先下降、后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7"/>
        </w:rPr>
        <w:t>进入平稳震荡期。第四季度股市热度上升，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股价从底部快速抬升，因波动率增加压力指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数有所上升。随着市场情绪平稳，股票市场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逐渐进入平稳运行区间，压力指数逐渐下降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2"/>
        </w:rPr>
        <w:t>4</w:t>
      </w:r>
      <w:r>
        <w:rPr>
          <w:color w:val="231F20"/>
          <w:spacing w:val="2"/>
        </w:rPr>
        <w:t>-</w:t>
      </w:r>
      <w:r>
        <w:rPr>
          <w:rFonts w:ascii="Times New Roman" w:hAnsi="Times New Roman" w:eastAsia="Times New Roman" w:cs="Times New Roman"/>
          <w:color w:val="231F20"/>
          <w:spacing w:val="2"/>
        </w:rPr>
        <w:t>7</w:t>
      </w:r>
      <w:r>
        <w:rPr>
          <w:color w:val="231F20"/>
          <w:spacing w:val="2"/>
        </w:rPr>
        <w:t>）。</w:t>
      </w:r>
    </w:p>
    <w:p>
      <w:pPr>
        <w:pStyle w:val="BodyText"/>
        <w:ind w:left="5095"/>
        <w:spacing w:before="229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图4-8    2015—2024年货币市场压力指数</w:t>
      </w:r>
    </w:p>
    <w:p>
      <w:pPr>
        <w:pStyle w:val="BodyText"/>
        <w:ind w:left="5530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（数据来源：中国人民银行）</w:t>
      </w:r>
    </w:p>
    <w:p>
      <w:pPr>
        <w:pStyle w:val="BodyText"/>
        <w:ind w:left="4622" w:firstLine="8"/>
        <w:spacing w:before="295" w:line="254" w:lineRule="auto"/>
        <w:jc w:val="both"/>
        <w:rPr/>
      </w:pPr>
      <w:r>
        <w:pict>
          <v:shape id="_x0000_s152" style="position:absolute;margin-left:-0.958pt;margin-top:101.534pt;mso-position-vertical-relative:text;mso-position-horizontal-relative:text;width:210.25pt;height:356.7pt;z-index:252191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486"/>
                    <w:spacing w:before="20" w:line="204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31F20"/>
                      <w:spacing w:val="2"/>
                    </w:rPr>
                    <w:t>图4-7    2015—2024年股票市场压力指数</w:t>
                  </w:r>
                </w:p>
                <w:p>
                  <w:pPr>
                    <w:pStyle w:val="BodyText"/>
                    <w:ind w:left="922"/>
                    <w:spacing w:before="28" w:line="19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31F20"/>
                      <w:spacing w:val="1"/>
                    </w:rPr>
                    <w:t>（数据来源：中国人民银行）</w:t>
                  </w:r>
                </w:p>
                <w:p>
                  <w:pPr>
                    <w:pStyle w:val="BodyText"/>
                    <w:ind w:left="20" w:right="20" w:firstLine="428"/>
                    <w:spacing w:before="311" w:line="249" w:lineRule="auto"/>
                    <w:rPr/>
                  </w:pPr>
                  <w:r>
                    <w:rPr>
                      <w:color w:val="231F20"/>
                      <w:spacing w:val="21"/>
                    </w:rPr>
                    <w:t>货币市场压力指数与上年基本持平。</w:t>
                  </w:r>
                  <w:r>
                    <w:rPr>
                      <w:color w:val="231F20"/>
                      <w:spacing w:val="3"/>
                    </w:rPr>
                    <w:t xml:space="preserve"> 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8"/>
                    </w:rPr>
                    <w:t>2024</w:t>
                  </w:r>
                  <w:r>
                    <w:rPr>
                      <w:color w:val="231F20"/>
                      <w:spacing w:val="8"/>
                    </w:rPr>
                    <w:t>年，货币市场流动性合理充裕，受春节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8"/>
                    </w:rPr>
                    <w:t>居民现金需求上升、  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8"/>
                    </w:rPr>
                    <w:t>3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-19"/>
                    </w:rPr>
                    <w:t xml:space="preserve"> </w:t>
                  </w:r>
                  <w:r>
                    <w:rPr>
                      <w:color w:val="231F20"/>
                      <w:spacing w:val="8"/>
                    </w:rPr>
                    <w:t>月和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8"/>
                    </w:rPr>
                    <w:t>6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-21"/>
                    </w:rPr>
                    <w:t xml:space="preserve"> </w:t>
                  </w:r>
                  <w:r>
                    <w:rPr>
                      <w:color w:val="231F20"/>
                      <w:spacing w:val="8"/>
                    </w:rPr>
                    <w:t>月季末监管考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2"/>
                    </w:rPr>
                    <w:t>核、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2"/>
                    </w:rPr>
                    <w:t>9</w:t>
                  </w:r>
                  <w:r>
                    <w:rPr>
                      <w:color w:val="231F20"/>
                      <w:spacing w:val="2"/>
                    </w:rPr>
                    <w:t>月央行中期借贷便利（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</w:rPr>
                    <w:t>MLF</w:t>
                  </w:r>
                  <w:r>
                    <w:rPr>
                      <w:color w:val="231F20"/>
                      <w:spacing w:val="2"/>
                    </w:rPr>
                    <w:t>）缩量续作</w:t>
                  </w:r>
                  <w:r>
                    <w:rPr>
                      <w:color w:val="231F20"/>
                      <w:spacing w:val="12"/>
                      <w:w w:val="101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等因素影响，相关时点货币市场资金面短期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偏紧，市场利率水平短暂上升，货币市场压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力指数有所上行。但总体来看，全年市场利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率水平稳中有降，压力指数水平与上年基本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2"/>
                    </w:rPr>
                    <w:t>持平（见图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2"/>
                    </w:rPr>
                    <w:t>4</w:t>
                  </w:r>
                  <w:r>
                    <w:rPr>
                      <w:color w:val="231F20"/>
                      <w:spacing w:val="2"/>
                    </w:rPr>
                    <w:t>-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2"/>
                    </w:rPr>
                    <w:t>8</w:t>
                  </w:r>
                  <w:r>
                    <w:rPr>
                      <w:color w:val="231F20"/>
                      <w:spacing w:val="2"/>
                    </w:rPr>
                    <w:t>）。</w:t>
                  </w:r>
                </w:p>
                <w:p>
                  <w:pPr>
                    <w:pStyle w:val="BodyText"/>
                    <w:ind w:left="20" w:right="20" w:firstLine="424"/>
                    <w:spacing w:before="9" w:line="239" w:lineRule="auto"/>
                    <w:jc w:val="both"/>
                    <w:rPr/>
                  </w:pPr>
                  <w:r>
                    <w:rPr>
                      <w:color w:val="231F20"/>
                      <w:spacing w:val="1"/>
                    </w:rPr>
                    <w:t>债券市场压力指数波动加大。  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1"/>
                    </w:rPr>
                    <w:t>2024</w:t>
                  </w:r>
                  <w:r>
                    <w:rPr>
                      <w:color w:val="231F20"/>
                      <w:spacing w:val="1"/>
                    </w:rPr>
                    <w:t>年国</w:t>
                  </w:r>
                  <w:r>
                    <w:rPr>
                      <w:color w:val="231F20"/>
                      <w:spacing w:val="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债收益率持续下行，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-1"/>
                    </w:rPr>
                    <w:t>1</w:t>
                  </w:r>
                  <w:r>
                    <w:rPr>
                      <w:color w:val="231F20"/>
                      <w:spacing w:val="-1"/>
                    </w:rPr>
                    <w:t>年期、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-1"/>
                    </w:rPr>
                    <w:t>10</w:t>
                  </w:r>
                  <w:r>
                    <w:rPr>
                      <w:color w:val="231F20"/>
                      <w:spacing w:val="-1"/>
                    </w:rPr>
                    <w:t>年期</w:t>
                  </w:r>
                  <w:r>
                    <w:rPr>
                      <w:color w:val="231F20"/>
                      <w:spacing w:val="-2"/>
                    </w:rPr>
                    <w:t>国债收益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1"/>
                    </w:rPr>
                    <w:t>率年内分别下降了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1"/>
                    </w:rPr>
                    <w:t>100</w:t>
                  </w:r>
                  <w:r>
                    <w:rPr>
                      <w:color w:val="231F20"/>
                      <w:spacing w:val="1"/>
                    </w:rPr>
                    <w:t>个基点、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1"/>
                    </w:rPr>
                    <w:t>89</w:t>
                  </w:r>
                  <w:r>
                    <w:rPr>
                      <w:color w:val="231F20"/>
                      <w:spacing w:val="1"/>
                    </w:rPr>
                    <w:t>个基点，积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累了一定程度的利率风险，债券市场压力指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4"/>
                    </w:rPr>
                    <w:t>数波动加大（见图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4"/>
                    </w:rPr>
                    <w:t>4</w:t>
                  </w:r>
                  <w:r>
                    <w:rPr>
                      <w:color w:val="231F20"/>
                      <w:spacing w:val="4"/>
                    </w:rPr>
                    <w:t>-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4"/>
                    </w:rPr>
                    <w:t>9</w:t>
                  </w:r>
                  <w:r>
                    <w:rPr>
                      <w:color w:val="231F20"/>
                      <w:spacing w:val="4"/>
                    </w:rPr>
                    <w:t>）。具体来看，年初至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3"/>
                    </w:rPr>
                    <w:t>4</w:t>
                  </w:r>
                  <w:r>
                    <w:rPr>
                      <w:color w:val="231F20"/>
                      <w:spacing w:val="3"/>
                    </w:rPr>
                    <w:t>月，受央行降准、整改违规手工补息等因素</w:t>
                  </w:r>
                </w:p>
              </w:txbxContent>
            </v:textbox>
          </v:shape>
        </w:pict>
      </w:r>
      <w:r>
        <w:rPr>
          <w:color w:val="231F20"/>
          <w:spacing w:val="8"/>
        </w:rPr>
        <w:t>影响，国债收益率持续下行，压力指数波动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4"/>
        </w:rPr>
        <w:t>加大。</w:t>
      </w:r>
      <w:r>
        <w:rPr>
          <w:color w:val="231F20"/>
          <w:spacing w:val="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5</w:t>
      </w:r>
      <w:r>
        <w:rPr>
          <w:color w:val="231F20"/>
          <w:spacing w:val="4"/>
        </w:rPr>
        <w:t>月至</w:t>
      </w:r>
      <w:r>
        <w:rPr>
          <w:rFonts w:ascii="Times New Roman" w:hAnsi="Times New Roman" w:eastAsia="Times New Roman" w:cs="Times New Roman"/>
          <w:color w:val="231F20"/>
          <w:spacing w:val="4"/>
        </w:rPr>
        <w:t>8</w:t>
      </w:r>
      <w:r>
        <w:rPr>
          <w:color w:val="231F20"/>
          <w:spacing w:val="4"/>
        </w:rPr>
        <w:t>月，央行提示长债交易风险，</w:t>
      </w:r>
      <w:r>
        <w:rPr>
          <w:color w:val="231F20"/>
        </w:rPr>
        <w:t xml:space="preserve">  </w:t>
      </w:r>
      <w:r>
        <w:rPr>
          <w:color w:val="231F20"/>
          <w:spacing w:val="8"/>
        </w:rPr>
        <w:t>国债收益率下行放缓，压力指数下降。  </w:t>
      </w:r>
      <w:r>
        <w:rPr>
          <w:rFonts w:ascii="Times New Roman" w:hAnsi="Times New Roman" w:eastAsia="Times New Roman" w:cs="Times New Roman"/>
          <w:color w:val="231F20"/>
          <w:spacing w:val="8"/>
        </w:rPr>
        <w:t>9</w:t>
      </w:r>
      <w:r>
        <w:rPr>
          <w:color w:val="231F20"/>
          <w:spacing w:val="8"/>
        </w:rPr>
        <w:t>月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9"/>
        </w:rPr>
        <w:t>底股市上涨显著，股债“跷跷板效应”引发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债券市场快速回调，压力指数再次上升。   </w:t>
      </w:r>
      <w:r>
        <w:rPr>
          <w:rFonts w:ascii="Times New Roman" w:hAnsi="Times New Roman" w:eastAsia="Times New Roman" w:cs="Times New Roman"/>
          <w:color w:val="231F20"/>
          <w:spacing w:val="1"/>
        </w:rPr>
        <w:t>10</w:t>
      </w:r>
      <w:r>
        <w:rPr>
          <w:rFonts w:ascii="Times New Roman" w:hAnsi="Times New Roman" w:eastAsia="Times New Roman" w:cs="Times New Roman"/>
          <w:color w:val="231F20"/>
          <w:spacing w:val="6"/>
        </w:rPr>
        <w:t xml:space="preserve"> </w:t>
      </w:r>
      <w:r>
        <w:rPr>
          <w:color w:val="231F20"/>
          <w:spacing w:val="8"/>
        </w:rPr>
        <w:t>月至</w:t>
      </w:r>
      <w:r>
        <w:rPr>
          <w:rFonts w:ascii="Times New Roman" w:hAnsi="Times New Roman" w:eastAsia="Times New Roman" w:cs="Times New Roman"/>
          <w:color w:val="231F20"/>
          <w:spacing w:val="8"/>
        </w:rPr>
        <w:t>11</w:t>
      </w:r>
      <w:r>
        <w:rPr>
          <w:color w:val="231F20"/>
          <w:spacing w:val="8"/>
        </w:rPr>
        <w:t>月末，债券市场资金逐步回流，压力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指数有所下降。但受国债收益率持续下行影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响，压力指数在年末再次上升。</w:t>
      </w:r>
    </w:p>
    <w:p>
      <w:pPr>
        <w:ind w:firstLine="4685"/>
        <w:spacing w:before="225" w:line="2530" w:lineRule="exact"/>
        <w:rPr/>
      </w:pPr>
      <w:r>
        <w:rPr>
          <w:position w:val="-50"/>
        </w:rPr>
        <w:drawing>
          <wp:inline distT="0" distB="0" distL="0" distR="0">
            <wp:extent cx="2560262" cy="1606651"/>
            <wp:effectExtent l="0" t="0" r="0" b="0"/>
            <wp:docPr id="450" name="IM 450"/>
            <wp:cNvGraphicFramePr/>
            <a:graphic>
              <a:graphicData uri="http://schemas.openxmlformats.org/drawingml/2006/picture">
                <pic:pic>
                  <pic:nvPicPr>
                    <pic:cNvPr id="450" name="IM 450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0262" cy="16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5088"/>
        <w:spacing w:before="154" w:line="20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图4-9    2015—2024年债券市场压力指数</w:t>
      </w:r>
    </w:p>
    <w:p>
      <w:pPr>
        <w:pStyle w:val="BodyText"/>
        <w:ind w:left="5523"/>
        <w:spacing w:before="28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（数据来源：中国人民银行）</w:t>
      </w:r>
    </w:p>
    <w:p>
      <w:pPr>
        <w:pStyle w:val="BodyText"/>
        <w:ind w:left="4622" w:firstLine="424"/>
        <w:spacing w:before="305" w:line="258" w:lineRule="auto"/>
        <w:jc w:val="both"/>
        <w:rPr/>
      </w:pPr>
      <w:r>
        <w:rPr>
          <w:color w:val="231F20"/>
          <w:spacing w:val="23"/>
        </w:rPr>
        <w:t>人民币对美元汇率小幅贬值，外汇市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4"/>
        </w:rPr>
        <w:t>场压力指数先降后升。</w:t>
      </w:r>
      <w:r>
        <w:rPr>
          <w:color w:val="231F20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2024</w:t>
      </w:r>
      <w:r>
        <w:rPr>
          <w:color w:val="231F20"/>
          <w:spacing w:val="4"/>
        </w:rPr>
        <w:t>年，人民币</w:t>
      </w:r>
      <w:r>
        <w:rPr>
          <w:color w:val="231F20"/>
          <w:spacing w:val="3"/>
        </w:rPr>
        <w:t>汇率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以市场供求为基础，对美元汇率呈现双向波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动、略有贬值的走势，外汇市场压力指数先</w:t>
      </w:r>
    </w:p>
    <w:p>
      <w:pPr>
        <w:spacing w:line="258" w:lineRule="auto"/>
        <w:sectPr>
          <w:headerReference w:type="default" r:id="rId225"/>
          <w:pgSz w:w="11906" w:h="16158"/>
          <w:pgMar w:top="1383" w:right="1416" w:bottom="400" w:left="1703" w:header="1060" w:footer="0" w:gutter="0"/>
        </w:sectPr>
        <w:rPr/>
      </w:pPr>
    </w:p>
    <w:p>
      <w:pPr>
        <w:pStyle w:val="BodyText"/>
        <w:spacing w:line="307" w:lineRule="auto"/>
        <w:rPr/>
      </w:pPr>
      <w:r/>
    </w:p>
    <w:p>
      <w:pPr>
        <w:pStyle w:val="BodyText"/>
        <w:ind w:left="4625" w:firstLine="1"/>
        <w:spacing w:before="102" w:line="249" w:lineRule="auto"/>
        <w:jc w:val="both"/>
        <w:rPr/>
      </w:pPr>
      <w:r>
        <w:pict>
          <v:shape id="_x0000_s154" style="position:absolute;margin-left:-0.779305pt;margin-top:4.11798pt;mso-position-vertical-relative:text;mso-position-horizontal-relative:text;width:210.2pt;height:122.35pt;z-index:2522030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 w:right="20" w:firstLine="15"/>
                    <w:spacing w:before="22"/>
                    <w:jc w:val="both"/>
                    <w:rPr/>
                  </w:pPr>
                  <w:r>
                    <w:rPr>
                      <w:color w:val="231F20"/>
                      <w:spacing w:val="6"/>
                    </w:rPr>
                    <w:t>降后升（见图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6"/>
                    </w:rPr>
                    <w:t>4</w:t>
                  </w:r>
                  <w:r>
                    <w:rPr>
                      <w:color w:val="231F20"/>
                      <w:spacing w:val="6"/>
                    </w:rPr>
                    <w:t>-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6"/>
                    </w:rPr>
                    <w:t>10</w:t>
                  </w:r>
                  <w:r>
                    <w:rPr>
                      <w:color w:val="231F20"/>
                      <w:spacing w:val="6"/>
                    </w:rPr>
                    <w:t>）。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6"/>
                    </w:rPr>
                    <w:t>1</w:t>
                  </w:r>
                  <w:r>
                    <w:rPr>
                      <w:color w:val="231F20"/>
                      <w:spacing w:val="6"/>
                    </w:rPr>
                    <w:t>月至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6"/>
                    </w:rPr>
                    <w:t>7</w:t>
                  </w:r>
                  <w:r>
                    <w:rPr>
                      <w:color w:val="231F20"/>
                      <w:spacing w:val="6"/>
                    </w:rPr>
                    <w:t>月，受美元走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强影响，人民币对美元汇率温和贬值，但汇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率波动率较小，压力指数略有下降。</w:t>
                  </w:r>
                  <w:r>
                    <w:rPr>
                      <w:color w:val="231F20"/>
                      <w:spacing w:val="58"/>
                      <w:w w:val="101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9"/>
                    </w:rPr>
                    <w:t>8</w:t>
                  </w:r>
                  <w:r>
                    <w:rPr>
                      <w:color w:val="231F20"/>
                      <w:spacing w:val="9"/>
                    </w:rPr>
                    <w:t>月至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年末，受美元走弱、美国总统大选等因素影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响，人民币对美元汇率波动率加大，压力指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7"/>
                    </w:rPr>
                    <w:t>数上升。</w:t>
                  </w:r>
                </w:p>
              </w:txbxContent>
            </v:textbox>
          </v:shape>
        </w:pict>
      </w:r>
      <w:r>
        <w:rPr>
          <w:color w:val="231F20"/>
          <w:spacing w:val="8"/>
        </w:rPr>
        <w:t>行间市场执法常态化机制，维护金融市场秩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9"/>
        </w:rPr>
        <w:t>序。持续推进债券市场高水平对外开放，优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化境外机构投资环境，吸引更多境外机构尤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其是中长期投资者积极参与中国债券市场。</w:t>
      </w:r>
    </w:p>
    <w:p>
      <w:pPr>
        <w:pStyle w:val="BodyText"/>
        <w:ind w:left="4624" w:firstLine="426"/>
        <w:spacing w:before="12" w:line="249" w:lineRule="auto"/>
        <w:rPr/>
      </w:pPr>
      <w:r>
        <w:pict>
          <v:shape id="_x0000_s156" style="position:absolute;margin-left:20.0152pt;margin-top:189.961pt;mso-position-vertical-relative:text;mso-position-horizontal-relative:text;width:169.3pt;height:32.3pt;z-index:2522040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04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31F20"/>
                      <w:spacing w:val="2"/>
                    </w:rPr>
                    <w:t>图4-10    2015—2024年外汇市场压力指数</w:t>
                  </w:r>
                </w:p>
                <w:p>
                  <w:pPr>
                    <w:pStyle w:val="BodyText"/>
                    <w:ind w:left="505"/>
                    <w:spacing w:before="28" w:line="196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color w:val="231F20"/>
                      <w:spacing w:val="1"/>
                    </w:rPr>
                    <w:t>（数据来源：中国人民银行）</w:t>
                  </w:r>
                </w:p>
              </w:txbxContent>
            </v:textbox>
          </v:shape>
        </w:pict>
      </w:r>
      <w:r>
        <w:pict>
          <v:shape id="_x0000_s158" style="position:absolute;margin-left:-0.737305pt;margin-top:247.806pt;mso-position-vertical-relative:text;mso-position-horizontal-relative:text;width:210.15pt;height:288.55pt;z-index:2522009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512"/>
                    <w:spacing w:before="19" w:line="169" w:lineRule="auto"/>
                    <w:outlineLvl w:val="0"/>
                    <w:rPr>
                      <w:sz w:val="28"/>
                      <w:szCs w:val="28"/>
                    </w:rPr>
                  </w:pPr>
                  <w:bookmarkStart w:name="bookmark13" w:id="41"/>
                  <w:bookmarkEnd w:id="41"/>
                  <w:r>
                    <w:rPr>
                      <w:sz w:val="28"/>
                      <w:szCs w:val="28"/>
                      <w:color w:val="174B8B"/>
                      <w:spacing w:val="-7"/>
                    </w:rPr>
                    <w:t>四、展望</w:t>
                  </w:r>
                </w:p>
                <w:p>
                  <w:pPr>
                    <w:pStyle w:val="BodyText"/>
                    <w:ind w:left="21" w:right="20" w:firstLine="422"/>
                    <w:spacing w:before="431" w:line="249" w:lineRule="auto"/>
                    <w:jc w:val="both"/>
                    <w:rPr/>
                  </w:pP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19"/>
                    </w:rPr>
                    <w:t>2025</w:t>
                  </w:r>
                  <w:r>
                    <w:rPr>
                      <w:rFonts w:ascii="Times New Roman" w:hAnsi="Times New Roman" w:eastAsia="Times New Roman" w:cs="Times New Roman"/>
                      <w:color w:val="231F20"/>
                      <w:spacing w:val="-18"/>
                    </w:rPr>
                    <w:t xml:space="preserve"> </w:t>
                  </w:r>
                  <w:r>
                    <w:rPr>
                      <w:color w:val="231F20"/>
                      <w:spacing w:val="19"/>
                    </w:rPr>
                    <w:t>年，要全面深入贯彻落实中央经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8"/>
                    </w:rPr>
                    <w:t>济工作会议和中央金融工作会议精神，优化</w:t>
                  </w:r>
                  <w:r>
                    <w:rPr>
                      <w:color w:val="231F20"/>
                      <w:spacing w:val="17"/>
                      <w:w w:val="101"/>
                    </w:rPr>
                    <w:t xml:space="preserve"> </w:t>
                  </w:r>
                  <w:r>
                    <w:rPr>
                      <w:color w:val="231F20"/>
                      <w:spacing w:val="8"/>
                    </w:rPr>
                    <w:t>金融市场结构，深化市场功能和强化市场规</w:t>
                  </w:r>
                  <w:r>
                    <w:rPr>
                      <w:color w:val="231F20"/>
                      <w:spacing w:val="17"/>
                      <w:w w:val="101"/>
                    </w:rPr>
                    <w:t xml:space="preserve"> </w:t>
                  </w:r>
                  <w:r>
                    <w:rPr>
                      <w:color w:val="231F20"/>
                      <w:spacing w:val="8"/>
                    </w:rPr>
                    <w:t>则，稳步扩大制度性开放，推动我国金融市</w:t>
                  </w:r>
                  <w:r>
                    <w:rPr>
                      <w:color w:val="231F20"/>
                      <w:spacing w:val="17"/>
                      <w:w w:val="101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场高质量发展，增强服务实体经济能力。</w:t>
                  </w:r>
                </w:p>
                <w:p>
                  <w:pPr>
                    <w:pStyle w:val="BodyText"/>
                    <w:ind w:left="20" w:right="20" w:firstLine="428"/>
                    <w:spacing w:before="3" w:line="241" w:lineRule="auto"/>
                    <w:rPr/>
                  </w:pPr>
                  <w:r>
                    <w:rPr>
                      <w:color w:val="231F20"/>
                      <w:spacing w:val="12"/>
                    </w:rPr>
                    <w:t>持续推动债券市场高质量发展。   加快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多层次债券市场建设，丰富产品体系，完善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运行机制，优化市场结构，提高市场化定价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7"/>
                    </w:rPr>
                    <w:t>和风险管理能力，提升服务实体经济质效。</w:t>
                  </w:r>
                  <w:r>
                    <w:rPr>
                      <w:color w:val="231F20"/>
                      <w:spacing w:val="4"/>
                    </w:rPr>
                    <w:t xml:space="preserve">  </w:t>
                  </w:r>
                  <w:r>
                    <w:rPr>
                      <w:color w:val="231F20"/>
                      <w:spacing w:val="9"/>
                    </w:rPr>
                    <w:t>加大债券市场支持科技创新力度，继续支持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金融机构发行绿色、小微、“三农”金融债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9"/>
                    </w:rPr>
                    <w:t>券。完善金融市场法制和监管规则，建立银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201984" behindDoc="0" locked="0" layoutInCell="1" allowOverlap="1">
            <wp:simplePos x="0" y="0"/>
            <wp:positionH relativeFrom="column">
              <wp:posOffset>41452</wp:posOffset>
            </wp:positionH>
            <wp:positionV relativeFrom="paragraph">
              <wp:posOffset>722200</wp:posOffset>
            </wp:positionV>
            <wp:extent cx="2563101" cy="1604933"/>
            <wp:effectExtent l="0" t="0" r="0" b="0"/>
            <wp:wrapNone/>
            <wp:docPr id="454" name="IM 454"/>
            <wp:cNvGraphicFramePr/>
            <a:graphic>
              <a:graphicData uri="http://schemas.openxmlformats.org/drawingml/2006/picture">
                <pic:pic>
                  <pic:nvPicPr>
                    <pic:cNvPr id="454" name="IM 454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63101" cy="160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21"/>
        </w:rPr>
        <w:t>稳步做好股票市场改革与发展工作。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9"/>
        </w:rPr>
        <w:t>全面落地上市公司市值管理指引，加大上市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公司分红、回购激励约束。出台中小投资者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保护政策文件，推动健全特别代表人诉讼、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当事人承诺等制度机制，切实维护市场“三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公”。深化投融资综合改革，进一步打通中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长期资金入市卡点堵点，推动各类中长期资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金建立长周期考核机制。深化公募基金改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革，提高权益投资比例。深化科创板、创业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板、北交所改革，增强制度的包容性、适应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性。优化境外上市备案制度，拓展资本市场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跨境互联互通。巩固深化常态化退市机制，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畅通多元退出渠道，加快完善退市过程中的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投资者保护制度机制。更好发挥两项结构性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货币政策工具效用，加强战略性力量储备和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稳市机制建设。</w:t>
      </w:r>
    </w:p>
    <w:p>
      <w:pPr>
        <w:pStyle w:val="BodyText"/>
        <w:ind w:left="4625" w:firstLine="425"/>
        <w:spacing w:before="6" w:line="249" w:lineRule="auto"/>
        <w:jc w:val="both"/>
        <w:rPr/>
      </w:pPr>
      <w:r>
        <w:rPr>
          <w:color w:val="231F20"/>
          <w:spacing w:val="3"/>
        </w:rPr>
        <w:t>进一步发展外汇市场。  稳步扩大对外开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9"/>
        </w:rPr>
        <w:t>放，加快推动内外贸一体化，以高水平外汇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改革推动双向开放，继续为跨境贸易和投融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资营造良好的政策环境。持续增强外汇市场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韧性，不断强化汇率风险中性理念，扩大人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民币在跨境贸易和投资中的使用。不断充实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和丰富外汇市场逆周期调节工具箱，增强抵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御外部冲击能力。</w:t>
      </w:r>
    </w:p>
    <w:p>
      <w:pPr>
        <w:pStyle w:val="BodyText"/>
        <w:ind w:left="4630" w:firstLine="417"/>
        <w:spacing w:before="1" w:line="266" w:lineRule="auto"/>
        <w:rPr/>
      </w:pPr>
      <w:r>
        <w:rPr>
          <w:color w:val="231F20"/>
          <w:spacing w:val="1"/>
        </w:rPr>
        <w:t>促进票据和黄金等市场健康发展。   加强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8"/>
        </w:rPr>
        <w:t>票据业务规范管理，推动供应链票据扩大应</w:t>
      </w:r>
    </w:p>
    <w:p>
      <w:pPr>
        <w:spacing w:line="266" w:lineRule="auto"/>
        <w:sectPr>
          <w:headerReference w:type="default" r:id="rId229"/>
          <w:pgSz w:w="11906" w:h="16158"/>
          <w:pgMar w:top="1367" w:right="1700" w:bottom="400" w:left="1417" w:header="1044" w:footer="0" w:gutter="0"/>
        </w:sectPr>
        <w:rPr/>
      </w:pPr>
    </w:p>
    <w:p>
      <w:pPr>
        <w:spacing w:before="155"/>
        <w:rPr/>
      </w:pPr>
      <w:r/>
    </w:p>
    <w:p>
      <w:pPr>
        <w:sectPr>
          <w:headerReference w:type="default" r:id="rId231"/>
          <w:pgSz w:w="11906" w:h="16158"/>
          <w:pgMar w:top="1383" w:right="1416" w:bottom="400" w:left="1700" w:header="1060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" w:right="359" w:firstLine="5"/>
        <w:spacing w:before="44" w:line="249" w:lineRule="auto"/>
        <w:jc w:val="both"/>
        <w:rPr/>
      </w:pPr>
      <w:r>
        <w:rPr>
          <w:color w:val="231F20"/>
          <w:spacing w:val="14"/>
        </w:rPr>
        <w:t>用。落实《关于规范供应链金融业务  引导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9"/>
        </w:rPr>
        <w:t>供应链信息服务机构更好服务中小企业融资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有关事宜的通知》要求，强化供应链金融规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1"/>
        <w:spacing w:before="42" w:line="249" w:lineRule="auto"/>
        <w:jc w:val="both"/>
        <w:rPr/>
      </w:pPr>
      <w:r>
        <w:rPr>
          <w:color w:val="231F20"/>
          <w:spacing w:val="8"/>
        </w:rPr>
        <w:t>范，防控相关业务风险。健全黄金市场制度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8"/>
        </w:rPr>
        <w:t>建设，稳步推进产品和服务创新，维护市场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-6"/>
        </w:rPr>
        <w:t>平稳运行。</w:t>
      </w:r>
    </w:p>
    <w:p>
      <w:pPr>
        <w:spacing w:line="249" w:lineRule="auto"/>
        <w:sectPr>
          <w:type w:val="continuous"/>
          <w:pgSz w:w="11906" w:h="16158"/>
          <w:pgMar w:top="1383" w:right="1416" w:bottom="400" w:left="1700" w:header="1060" w:footer="0" w:gutter="0"/>
          <w:cols w:equalWidth="0" w:num="2">
            <w:col w:w="4528" w:space="100"/>
            <w:col w:w="4161" w:space="0"/>
          </w:cols>
        </w:sectPr>
        <w:rPr/>
      </w:pPr>
    </w:p>
    <w:p>
      <w:pPr>
        <w:pStyle w:val="BodyText"/>
        <w:spacing w:line="260" w:lineRule="auto"/>
        <w:rPr/>
      </w:pPr>
      <w:r/>
    </w:p>
    <w:p>
      <w:pPr>
        <w:pStyle w:val="BodyText"/>
        <w:ind w:left="299"/>
        <w:spacing w:before="135" w:line="174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101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-99438</wp:posOffset>
                </wp:positionV>
                <wp:extent cx="5580380" cy="7081519"/>
                <wp:effectExtent l="0" t="0" r="0" b="0"/>
                <wp:wrapNone/>
                <wp:docPr id="456" name="Rect 456"/>
                <wp:cNvGraphicFramePr/>
                <a:graphic>
                  <a:graphicData uri="http://schemas.microsoft.com/office/word/2010/wordprocessingShape">
                    <wps:wsp>
                      <wps:cNvPr id="456" name="Rect 456"/>
                      <wps:cNvSpPr/>
                      <wps:spPr>
                        <a:xfrm>
                          <a:off x="0" y="-99438"/>
                          <a:ext cx="5580380" cy="7081519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0" style="position:absolute;margin-left:0pt;margin-top:-7.82977pt;mso-position-vertical-relative:text;mso-position-horizontal-relative:text;width:439.4pt;height:557.6pt;z-index:-251106304;" fillcolor="#D4E5F5" filled="true" stroked="false"/>
            </w:pict>
          </mc:Fallback>
        </mc:AlternateContent>
      </w:r>
      <w:bookmarkStart w:name="bookmark28" w:id="42"/>
      <w:bookmarkEnd w:id="42"/>
      <w:r>
        <w:rPr>
          <w:sz w:val="28"/>
          <w:szCs w:val="28"/>
          <w:color w:val="231F20"/>
          <w:spacing w:val="-3"/>
        </w:rPr>
        <w:t>专栏十一</w:t>
      </w:r>
      <w:r>
        <w:rPr>
          <w:sz w:val="28"/>
          <w:szCs w:val="28"/>
          <w:color w:val="231F20"/>
          <w:spacing w:val="13"/>
        </w:rPr>
        <w:t xml:space="preserve">    </w:t>
      </w:r>
      <w:r>
        <w:rPr>
          <w:sz w:val="28"/>
          <w:szCs w:val="28"/>
          <w:color w:val="231F20"/>
          <w:spacing w:val="-3"/>
        </w:rPr>
        <w:t>推动中长期资金入市</w:t>
      </w:r>
    </w:p>
    <w:p>
      <w:pPr>
        <w:spacing w:line="325" w:lineRule="exact"/>
        <w:rPr/>
      </w:pPr>
      <w:r/>
    </w:p>
    <w:p>
      <w:pPr>
        <w:spacing w:line="325" w:lineRule="exact"/>
        <w:sectPr>
          <w:type w:val="continuous"/>
          <w:pgSz w:w="11906" w:h="16158"/>
          <w:pgMar w:top="1383" w:right="1416" w:bottom="400" w:left="1700" w:header="1060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87" w:right="353" w:firstLine="438"/>
        <w:spacing w:before="45" w:line="250" w:lineRule="auto"/>
        <w:jc w:val="both"/>
        <w:rPr/>
      </w:pPr>
      <w:r>
        <w:rPr>
          <w:color w:val="231F20"/>
          <w:spacing w:val="19"/>
        </w:rPr>
        <w:t>党的二十届三中全会明确提出，健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5"/>
        </w:rPr>
        <w:t>全投资和融资相协调的资本市场功能，支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持中长期资金入市。2024年9月26日中央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5"/>
        </w:rPr>
        <w:t>政治局会议、中央经济工作会议作出明确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部署，强调要稳住股市，深化资本市场投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融资综合改革，打通中长期资金入市卡点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堵点。中国证监会会同有关方面大力引导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8"/>
        </w:rPr>
        <w:t>中长期资金入市，促进资本市场高质量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发展。</w:t>
      </w:r>
    </w:p>
    <w:p>
      <w:pPr>
        <w:pStyle w:val="BodyText"/>
        <w:ind w:left="721"/>
        <w:spacing w:before="1" w:line="173" w:lineRule="auto"/>
        <w:rPr/>
      </w:pPr>
      <w:r>
        <w:rPr>
          <w:color w:val="231F20"/>
          <w:spacing w:val="-2"/>
        </w:rPr>
        <w:t>一、中长期资金入市基本情况</w:t>
      </w:r>
    </w:p>
    <w:p>
      <w:pPr>
        <w:pStyle w:val="BodyText"/>
        <w:ind w:left="287" w:right="353" w:firstLine="425"/>
        <w:spacing w:before="126" w:line="249" w:lineRule="auto"/>
        <w:rPr/>
      </w:pPr>
      <w:r>
        <w:rPr>
          <w:color w:val="231F20"/>
          <w:spacing w:val="5"/>
        </w:rPr>
        <w:t>推动中长期资金入市，对促进资本市</w:t>
      </w:r>
      <w:r>
        <w:rPr>
          <w:color w:val="231F20"/>
          <w:spacing w:val="11"/>
          <w:w w:val="101"/>
        </w:rPr>
        <w:t xml:space="preserve"> </w:t>
      </w:r>
      <w:r>
        <w:rPr>
          <w:color w:val="231F20"/>
          <w:spacing w:val="5"/>
        </w:rPr>
        <w:t>场投融资两端协调发展、更好发挥资本市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场服务实体经济功能具有重要意义。实践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表明，公募基金、保险资金、各类养老金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等中长期资金由于来源稳定、投资运作专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业化程度较高，能够克服市场短期波动，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-2"/>
        </w:rPr>
        <w:t>是资本市场健康稳定发展的基石。</w:t>
      </w:r>
    </w:p>
    <w:p>
      <w:pPr>
        <w:pStyle w:val="BodyText"/>
        <w:ind w:left="286" w:right="353" w:firstLine="412"/>
        <w:spacing w:before="3" w:line="233" w:lineRule="auto"/>
        <w:rPr/>
      </w:pPr>
      <w:r>
        <w:rPr>
          <w:color w:val="231F20"/>
          <w:spacing w:val="-3"/>
        </w:rPr>
        <w:t>（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3"/>
        </w:rPr>
        <w:t>一 ）公募基金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。公募基金主要通过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市场化方式向社会募集资金并投向股票、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债券等资产。截至2024年末，公募基金规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模合计32.8万亿元，其中以股票投资为主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的权益类基金8.2万亿元，占比25.1%；持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有A股流通市值6万亿元， 占全部A股流通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市值的7.4%，是A股市场体量最大的专业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"/>
        <w:spacing w:before="43" w:line="194" w:lineRule="auto"/>
        <w:rPr/>
      </w:pPr>
      <w:r>
        <w:rPr>
          <w:color w:val="231F20"/>
          <w:spacing w:val="-4"/>
        </w:rPr>
        <w:t>机构投资者。</w:t>
      </w:r>
    </w:p>
    <w:p>
      <w:pPr>
        <w:pStyle w:val="BodyText"/>
        <w:ind w:right="284" w:firstLine="416"/>
        <w:spacing w:before="96" w:line="238" w:lineRule="auto"/>
        <w:rPr/>
      </w:pPr>
      <w:r>
        <w:rPr>
          <w:color w:val="231F20"/>
          <w:spacing w:val="-3"/>
        </w:rPr>
        <w:t>（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3"/>
        </w:rPr>
        <w:t>二 ）保险资金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。保险资金具有来源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稳定、偿付周期长的特点，是典型的“长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2"/>
        </w:rPr>
        <w:t>钱”。截至2024年末，保险资金直接或间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5"/>
        </w:rPr>
        <w:t>接持有A股流通市值合计3.2万亿元，占全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6"/>
        </w:rPr>
        <w:t>部A股流通市值的4%。</w:t>
      </w:r>
    </w:p>
    <w:p>
      <w:pPr>
        <w:pStyle w:val="BodyText"/>
        <w:ind w:left="2" w:right="284" w:firstLine="413"/>
        <w:spacing w:before="94" w:line="246" w:lineRule="auto"/>
        <w:rPr/>
      </w:pPr>
      <w:r>
        <w:rPr>
          <w:color w:val="231F20"/>
          <w:spacing w:val="-4"/>
        </w:rPr>
        <w:t>（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</w:rPr>
        <w:t>三 ）养老金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4"/>
        </w:rPr>
        <w:t>。一是全国社保基金。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全国社保基金是资本市场长期投资、价值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0"/>
        </w:rPr>
        <w:t>投资的典范，自成立以来投资A股平均年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化收益率超10%。截至2024年末，全国社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保基金持有A股流通市值0.9万亿元，占全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部A股流通市值的1.4%。二是基本养老保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5"/>
        </w:rPr>
        <w:t>险基金。基本养老保险是我国养老保障体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系的第一支柱。截至2024年末，各省委托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全国社保理事会管理的基本养老保险基金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持有A股流通市值0.3万亿元，占全部A股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流通市值的0.3%。三是企（职）业年金基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5"/>
        </w:rPr>
        <w:t>金。企（职）业年金是我国养老保障体系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的第二支柱，近年来规模增长较快、发展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潜力较大。截至2024年末，企（职）业年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金基金持有A股流通市值0.8万亿元，占全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部A股流通市值的1%。</w:t>
      </w:r>
    </w:p>
    <w:p>
      <w:pPr>
        <w:pStyle w:val="BodyText"/>
        <w:ind w:left="437"/>
        <w:spacing w:before="102" w:line="173" w:lineRule="auto"/>
        <w:rPr/>
      </w:pPr>
      <w:r>
        <w:rPr>
          <w:color w:val="231F20"/>
          <w:spacing w:val="-2"/>
        </w:rPr>
        <w:t>二、已开展的主要工作</w:t>
      </w:r>
    </w:p>
    <w:p>
      <w:pPr>
        <w:pStyle w:val="BodyText"/>
        <w:ind w:left="443"/>
        <w:spacing w:before="121" w:line="229" w:lineRule="exact"/>
        <w:rPr/>
      </w:pPr>
      <w:r>
        <w:rPr>
          <w:color w:val="231F20"/>
          <w:spacing w:val="19"/>
          <w:position w:val="-1"/>
        </w:rPr>
        <w:t>为落实党中央、国务院关于打通中</w:t>
      </w:r>
    </w:p>
    <w:p>
      <w:pPr>
        <w:spacing w:line="229" w:lineRule="exact"/>
        <w:sectPr>
          <w:type w:val="continuous"/>
          <w:pgSz w:w="11906" w:h="16158"/>
          <w:pgMar w:top="1383" w:right="1416" w:bottom="400" w:left="1700" w:header="1060" w:footer="0" w:gutter="0"/>
          <w:cols w:equalWidth="0" w:num="2">
            <w:col w:w="4521" w:space="100"/>
            <w:col w:w="4168" w:space="0"/>
          </w:cols>
        </w:sectPr>
        <w:rPr/>
      </w:pPr>
    </w:p>
    <w:p>
      <w:pPr>
        <w:spacing w:before="336"/>
        <w:rPr/>
      </w:pPr>
      <w:r/>
    </w:p>
    <w:p>
      <w:pPr>
        <w:sectPr>
          <w:headerReference w:type="default" r:id="rId232"/>
          <w:pgSz w:w="11906" w:h="16158"/>
          <w:pgMar w:top="1367" w:right="1700" w:bottom="400" w:left="1417" w:header="1044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7" w:right="355" w:firstLine="14"/>
        <w:spacing w:before="54" w:line="249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2041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-108797</wp:posOffset>
                </wp:positionV>
                <wp:extent cx="5580380" cy="7889240"/>
                <wp:effectExtent l="0" t="0" r="0" b="0"/>
                <wp:wrapNone/>
                <wp:docPr id="460" name="Rect 460"/>
                <wp:cNvGraphicFramePr/>
                <a:graphic>
                  <a:graphicData uri="http://schemas.microsoft.com/office/word/2010/wordprocessingShape">
                    <wps:wsp>
                      <wps:cNvPr id="460" name="Rect 460"/>
                      <wps:cNvSpPr/>
                      <wps:spPr>
                        <a:xfrm>
                          <a:off x="0" y="-108797"/>
                          <a:ext cx="5580380" cy="78892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2" style="position:absolute;margin-left:0pt;margin-top:-8.56671pt;mso-position-vertical-relative:text;mso-position-horizontal-relative:text;width:439.4pt;height:621.2pt;z-index:-251096064;" fillcolor="#D4E5F5" filled="true" stroked="false"/>
            </w:pict>
          </mc:Fallback>
        </mc:AlternateContent>
      </w:r>
      <w:r>
        <w:rPr>
          <w:color w:val="231F20"/>
          <w:spacing w:val="2"/>
        </w:rPr>
        <w:t>长期资金入市卡点堵点的重要决策部署，</w:t>
      </w:r>
      <w:r>
        <w:rPr>
          <w:color w:val="231F20"/>
          <w:spacing w:val="7"/>
        </w:rPr>
        <w:t xml:space="preserve">  </w:t>
      </w:r>
      <w:r>
        <w:rPr>
          <w:color w:val="231F20"/>
          <w:spacing w:val="-3"/>
        </w:rPr>
        <w:t>2024年9月和2025年1月， 中央金融办、中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国证监会、财政部、人力资源和社会保障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部、中国人民银行、金融监管总局等单位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先后发布了《关于推动中长期资金入市的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指导意见》和《关于推动中长期资金入市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工作的实施方案》，聚焦打通公募基金、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保险资金、各类养老金等中长期资金入市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的卡点堵点，提出了一系列务实举措。目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8"/>
        </w:rPr>
        <w:t>前，各部门正抓紧推动落实，主要举措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</w:rPr>
        <w:t>如下。</w:t>
      </w:r>
    </w:p>
    <w:p>
      <w:pPr>
        <w:pStyle w:val="BodyText"/>
        <w:ind w:left="285" w:right="355" w:firstLine="413"/>
        <w:spacing w:before="5" w:line="243" w:lineRule="auto"/>
        <w:rPr/>
      </w:pPr>
      <w:r>
        <w:rPr>
          <w:color w:val="231F20"/>
          <w:spacing w:val="-12"/>
        </w:rPr>
        <w:t>（</w:t>
      </w:r>
      <w:r>
        <w:rPr>
          <w:color w:val="231F20"/>
          <w:spacing w:val="30"/>
          <w:w w:val="101"/>
        </w:rPr>
        <w:t xml:space="preserve"> </w:t>
      </w:r>
      <w:r>
        <w:rPr>
          <w:color w:val="231F20"/>
          <w:spacing w:val="-12"/>
        </w:rPr>
        <w:t>一 ）公募基金方面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2"/>
        </w:rPr>
        <w:t>。2025年5月，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2"/>
        </w:rPr>
        <w:t>中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国证监会印发《推动公募基金高质量发展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行动方案》，主要内容包括：</w:t>
      </w:r>
      <w:r>
        <w:rPr>
          <w:color w:val="231F20"/>
          <w:spacing w:val="52"/>
          <w:w w:val="102"/>
        </w:rPr>
        <w:t xml:space="preserve"> </w:t>
      </w:r>
      <w:r>
        <w:rPr>
          <w:color w:val="231F20"/>
        </w:rPr>
        <w:t>一是优化基 </w:t>
      </w:r>
      <w:r>
        <w:rPr>
          <w:color w:val="231F20"/>
          <w:spacing w:val="5"/>
        </w:rPr>
        <w:t>金运营模式，建立健全基金公司收入报酬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与投资者回报绑定机制。优化主动管理权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益类基金管理费收取模式，根据产品业绩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表现实施分档收费；完善基金产品业绩比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较基准的设定、修改、持续评估及纠偏机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制；进一步降低行业综合费率水平。二是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完善行业考核评价制度，全面强化长周期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考核与激励约束机制。全面建立以基金投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资收益为核心的行业考核评价体系，切实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降低规模排名、收入利润、业绩相对排名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等指标的考核权重；将投资者实际盈亏、 </w:t>
      </w:r>
      <w:r>
        <w:rPr>
          <w:color w:val="231F20"/>
          <w:spacing w:val="5"/>
        </w:rPr>
        <w:t>业绩比较基准对比等情况纳入基金公司内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部考核、监管分类评价以及第三方机构评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8"/>
        </w:rPr>
        <w:t>价评奖体系，加大三年以上业绩考核权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重。三是大力提升公募基金权益投资规模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3" w:firstLine="11"/>
        <w:spacing w:before="58" w:line="249" w:lineRule="auto"/>
        <w:rPr/>
      </w:pPr>
      <w:r>
        <w:rPr>
          <w:color w:val="231F20"/>
          <w:spacing w:val="4"/>
        </w:rPr>
        <w:t>与占比，促进行业功能发挥。强化基金公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5"/>
        </w:rPr>
        <w:t>司监管分类评价结果运用，优化产品注册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安排，加大权益类基金、中低波动型产品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创新力度；建立基金销售机构分类评价机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制，更加突出权益类基金发展。努力实现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8"/>
        </w:rPr>
        <w:t>公募基金持有A股流通市值规模及占比、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5"/>
        </w:rPr>
        <w:t>权益类公募基金规模占比发展目标。四是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促进行业高质量发展，加快建设一流投资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机构。建立行业投研能力评价指标体系，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5"/>
        </w:rPr>
        <w:t>鼓励基金公司加大新兴技术应用、加快投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研平台建设，提高核心投研能力，更好服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务各类中长期资金；引导建立大小机构各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得其所的展业格局，夯实行业文化根基。 </w:t>
      </w:r>
      <w:r>
        <w:rPr>
          <w:color w:val="231F20"/>
          <w:spacing w:val="5"/>
        </w:rPr>
        <w:t>五是守牢风险底线，提升行业发展内在稳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定性。完善行业流动性风险防控机制，强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化对基金投资行为的约束和引导；根据市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场情况动态调整产品注册节奏与进度，助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力提高市场内在稳定性；强化公私募业务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风险隔离，做好舆情风险监测和应对。</w:t>
      </w:r>
    </w:p>
    <w:p>
      <w:pPr>
        <w:pStyle w:val="BodyText"/>
        <w:ind w:right="283" w:firstLine="413"/>
        <w:spacing w:before="2" w:line="238" w:lineRule="auto"/>
        <w:jc w:val="both"/>
        <w:rPr/>
      </w:pPr>
      <w:r>
        <w:rPr>
          <w:color w:val="231F20"/>
          <w:spacing w:val="-3"/>
        </w:rPr>
        <w:t>（</w:t>
      </w:r>
      <w:r>
        <w:rPr>
          <w:color w:val="231F20"/>
          <w:spacing w:val="31"/>
          <w:w w:val="101"/>
        </w:rPr>
        <w:t xml:space="preserve"> </w:t>
      </w:r>
      <w:r>
        <w:rPr>
          <w:color w:val="231F20"/>
          <w:spacing w:val="-3"/>
        </w:rPr>
        <w:t>二 ）保险资金方面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3"/>
        </w:rPr>
        <w:t>。一是完善国有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保险公司三年以上长周期考核机制。财政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部研究印发《关于引导保险资金长期稳健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投资</w:t>
      </w:r>
      <w:r>
        <w:rPr>
          <w:color w:val="231F20"/>
          <w:spacing w:val="13"/>
        </w:rPr>
        <w:t xml:space="preserve">    </w:t>
      </w:r>
      <w:r>
        <w:rPr>
          <w:color w:val="231F20"/>
          <w:spacing w:val="4"/>
        </w:rPr>
        <w:t>进一步加强国有商业保险公司长周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期考核的通知》，将“净资产收益率”指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标“（国有）资本保值增值率”指标均调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整为“当年度指标+3年周期指标+5年周期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指标”相结合的考核方式，各指标考核权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6"/>
        </w:rPr>
        <w:t>重分别占30%、50%和20%。二是提高保险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0"/>
        </w:rPr>
        <w:t>资金实际投资A股的规模和比例。推动大</w:t>
      </w:r>
    </w:p>
    <w:p>
      <w:pPr>
        <w:spacing w:line="238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3" w:space="100"/>
            <w:col w:w="4165" w:space="0"/>
          </w:cols>
        </w:sectPr>
        <w:rPr/>
      </w:pPr>
    </w:p>
    <w:p>
      <w:pPr>
        <w:spacing w:before="319"/>
        <w:rPr/>
      </w:pPr>
      <w:r/>
    </w:p>
    <w:p>
      <w:pPr>
        <w:sectPr>
          <w:headerReference w:type="default" r:id="rId233"/>
          <w:pgSz w:w="11906" w:h="16158"/>
          <w:pgMar w:top="1383" w:right="1417" w:bottom="400" w:left="1700" w:header="1060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92" w:right="355" w:firstLine="4"/>
        <w:spacing w:before="49" w:line="249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23065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-111878</wp:posOffset>
                </wp:positionV>
                <wp:extent cx="5580380" cy="5755640"/>
                <wp:effectExtent l="0" t="0" r="0" b="0"/>
                <wp:wrapNone/>
                <wp:docPr id="462" name="Rect 462"/>
                <wp:cNvGraphicFramePr/>
                <a:graphic>
                  <a:graphicData uri="http://schemas.microsoft.com/office/word/2010/wordprocessingShape">
                    <wps:wsp>
                      <wps:cNvPr id="462" name="Rect 462"/>
                      <wps:cNvSpPr/>
                      <wps:spPr>
                        <a:xfrm>
                          <a:off x="0" y="-111878"/>
                          <a:ext cx="5580380" cy="57556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64" style="position:absolute;margin-left:0pt;margin-top:-8.80933pt;mso-position-vertical-relative:text;mso-position-horizontal-relative:text;width:439.4pt;height:453.2pt;z-index:-251085824;" fillcolor="#D4E5F5" filled="true" stroked="false"/>
            </w:pict>
          </mc:Fallback>
        </mc:AlternateContent>
      </w:r>
      <w:bookmarkStart w:name="bookmark52" w:id="43"/>
      <w:bookmarkEnd w:id="43"/>
      <w:r>
        <w:rPr>
          <w:color w:val="231F20"/>
          <w:spacing w:val="2"/>
        </w:rPr>
        <w:t>型国有保险公司自2025年起每年新增保费 </w:t>
      </w:r>
      <w:r>
        <w:rPr>
          <w:color w:val="231F20"/>
          <w:spacing w:val="-2"/>
        </w:rPr>
        <w:t>的30%用于投资A股。三是扩大保险资金长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期股票投资试点范围。推动扩大保险资金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长期股票投资试点，截至2025年6月合计批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9"/>
        </w:rPr>
        <w:t>复规模2220亿元。</w:t>
      </w:r>
    </w:p>
    <w:p>
      <w:pPr>
        <w:pStyle w:val="BodyText"/>
        <w:ind w:left="286" w:right="351" w:firstLine="412"/>
        <w:spacing w:before="12" w:line="249" w:lineRule="auto"/>
        <w:rPr/>
      </w:pPr>
      <w:r>
        <w:rPr>
          <w:color w:val="231F20"/>
          <w:spacing w:val="3"/>
        </w:rPr>
        <w:t>（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3"/>
        </w:rPr>
        <w:t>三</w:t>
      </w:r>
      <w:r>
        <w:rPr>
          <w:color w:val="231F20"/>
          <w:spacing w:val="32"/>
          <w:w w:val="101"/>
        </w:rPr>
        <w:t xml:space="preserve"> </w:t>
      </w:r>
      <w:r>
        <w:rPr>
          <w:color w:val="231F20"/>
          <w:spacing w:val="3"/>
        </w:rPr>
        <w:t>）养老金方面 。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3"/>
        </w:rPr>
        <w:t>一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3"/>
        </w:rPr>
        <w:t>是发挥全国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社保基金长期专业投资的示范引领作用。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5"/>
        </w:rPr>
        <w:t>明确细化全国社保基金五年以上的长周期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业绩考核机制，稳步提升全国社保基金股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票类资产投资比例。二是完善基本养老保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险基金投资政策制度。推动有条件的地区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进一步扩大基本养老保险基金委托投资规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模，细化明确基本养老保险基金投资运营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三年以上的长周期业绩考核机制。三是提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5"/>
        </w:rPr>
        <w:t>高企（职）业年金基金市场化投资运作水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平。加快出台企（职）业年金基金三年以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上长周期业绩考核指导意见，逐步扩大企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业年金覆盖范围，支持具备条件的用人单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位探索放开企业年金个人投资选择，鼓励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企业年金基金管理人开展差异化投资。</w:t>
      </w:r>
    </w:p>
    <w:p>
      <w:pPr>
        <w:pStyle w:val="BodyText"/>
        <w:ind w:left="742"/>
        <w:spacing w:line="228" w:lineRule="exact"/>
        <w:rPr/>
      </w:pPr>
      <w:r>
        <w:rPr>
          <w:color w:val="231F20"/>
          <w:spacing w:val="18"/>
          <w:position w:val="-1"/>
        </w:rPr>
        <w:t>同时，中国证监会着力提高上市公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3" w:firstLine="25"/>
        <w:spacing w:before="42" w:line="250" w:lineRule="auto"/>
        <w:jc w:val="both"/>
        <w:rPr/>
      </w:pPr>
      <w:r>
        <w:rPr>
          <w:color w:val="231F20"/>
          <w:spacing w:val="16"/>
        </w:rPr>
        <w:t>司投资价值，多措并举持续提升上市公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司质量，引导上市公司落实一年多次分红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政策，加大股份回购力度，营造良好市场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生态。积极解决各类中长期资金诉求，允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许公募基金、保险资金、基本养老保险基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金、年金基金、银行理财等作为战略投资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者参与上市公司定向增发；在参与新股申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购、上市公司定向增发、举牌认定标准等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方面，给予银行理财、保险资管与公募基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金同等的政策待遇。</w:t>
      </w:r>
    </w:p>
    <w:p>
      <w:pPr>
        <w:pStyle w:val="BodyText"/>
        <w:ind w:left="438"/>
        <w:spacing w:line="174" w:lineRule="auto"/>
        <w:rPr/>
      </w:pPr>
      <w:r>
        <w:rPr>
          <w:color w:val="231F20"/>
          <w:spacing w:val="-3"/>
        </w:rPr>
        <w:t>三、下一步工作</w:t>
      </w:r>
    </w:p>
    <w:p>
      <w:pPr>
        <w:pStyle w:val="BodyText"/>
        <w:ind w:right="283" w:firstLine="457"/>
        <w:spacing w:before="121" w:line="238" w:lineRule="auto"/>
        <w:jc w:val="both"/>
        <w:rPr/>
      </w:pPr>
      <w:r>
        <w:rPr>
          <w:color w:val="231F20"/>
          <w:spacing w:val="18"/>
        </w:rPr>
        <w:t>中国证监会、财政部、人力资源社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会保障部、中国人民银行、金融监管总局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等相关部门将立足大局，加强协作，形成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合力，在中央金融办统筹协调下，进一步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提升工作的前瞻性、主动性和针对性，着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力健全有利于“长钱长投”的制度政策环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0"/>
        </w:rPr>
        <w:t>境，显著提高各类中长期资金实际投资A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股的规模和比例，努力实现中长期资金保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值增值、资本市场平稳健康运行与实体经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济高质量发展的良性循环。</w:t>
      </w:r>
    </w:p>
    <w:p>
      <w:pPr>
        <w:spacing w:line="238" w:lineRule="auto"/>
        <w:sectPr>
          <w:type w:val="continuous"/>
          <w:pgSz w:w="11906" w:h="16158"/>
          <w:pgMar w:top="1383" w:right="1417" w:bottom="400" w:left="1700" w:header="1060" w:footer="0" w:gutter="0"/>
          <w:cols w:equalWidth="0" w:num="2">
            <w:col w:w="4523" w:space="100"/>
            <w:col w:w="4165" w:space="0"/>
          </w:cols>
        </w:sectPr>
        <w:rPr/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pStyle w:val="BodyText"/>
        <w:ind w:left="8158"/>
        <w:spacing w:before="336" w:line="344" w:lineRule="exact"/>
        <w:rPr>
          <w:rFonts w:ascii="DejaVu Sans" w:hAnsi="DejaVu Sans" w:eastAsia="DejaVu Sans" w:cs="DejaVu Sans"/>
          <w:sz w:val="29"/>
          <w:szCs w:val="29"/>
        </w:rPr>
      </w:pPr>
      <w:r>
        <w:drawing>
          <wp:anchor distT="0" distB="0" distL="0" distR="0" simplePos="0" relativeHeight="252250112" behindDoc="0" locked="0" layoutInCell="0" allowOverlap="1">
            <wp:simplePos x="0" y="0"/>
            <wp:positionH relativeFrom="page">
              <wp:posOffset>4791060</wp:posOffset>
            </wp:positionH>
            <wp:positionV relativeFrom="page">
              <wp:posOffset>449999</wp:posOffset>
            </wp:positionV>
            <wp:extent cx="337500" cy="292349"/>
            <wp:effectExtent l="0" t="0" r="0" b="0"/>
            <wp:wrapNone/>
            <wp:docPr id="464" name="IM 464"/>
            <wp:cNvGraphicFramePr/>
            <a:graphic>
              <a:graphicData uri="http://schemas.openxmlformats.org/drawingml/2006/picture">
                <pic:pic>
                  <pic:nvPicPr>
                    <pic:cNvPr id="464" name="IM 4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00" cy="2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  <w:szCs w:val="29"/>
          <w:color w:val="174B8B"/>
          <w:spacing w:val="-6"/>
          <w:position w:val="3"/>
        </w:rPr>
        <w:t>中国金融稳定报告</w:t>
      </w:r>
      <w:r>
        <w:rPr>
          <w:sz w:val="29"/>
          <w:szCs w:val="29"/>
          <w:color w:val="174B8B"/>
          <w:spacing w:val="-6"/>
          <w:position w:val="3"/>
        </w:rPr>
        <w:t xml:space="preserve"> </w:t>
      </w:r>
      <w:r>
        <w:rPr>
          <w:rFonts w:ascii="DejaVu Sans" w:hAnsi="DejaVu Sans" w:eastAsia="DejaVu Sans" w:cs="DejaVu Sans"/>
          <w:sz w:val="29"/>
          <w:szCs w:val="29"/>
          <w:color w:val="174B8B"/>
          <w:spacing w:val="-6"/>
          <w:position w:val="-6"/>
        </w:rPr>
        <w:t>2025</w:t>
      </w:r>
    </w:p>
    <w:p>
      <w:pPr>
        <w:ind w:left="8164"/>
        <w:spacing w:line="221" w:lineRule="auto"/>
        <w:rPr>
          <w:rFonts w:ascii="DejaVu Sans" w:hAnsi="DejaVu Sans" w:eastAsia="DejaVu Sans" w:cs="DejaVu Sans"/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china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29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4"/>
        </w:rPr>
        <w:t>Financial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21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stability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Report</w:t>
      </w:r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3" w:lineRule="auto"/>
        <w:rPr/>
      </w:pPr>
      <w:r/>
    </w:p>
    <w:p>
      <w:pPr>
        <w:pStyle w:val="BodyText"/>
        <w:spacing w:line="264" w:lineRule="auto"/>
        <w:rPr/>
      </w:pPr>
      <w:r/>
    </w:p>
    <w:p>
      <w:pPr>
        <w:pStyle w:val="BodyText"/>
        <w:ind w:left="5242"/>
        <w:spacing w:before="346" w:line="176" w:lineRule="auto"/>
        <w:rPr>
          <w:sz w:val="72"/>
          <w:szCs w:val="72"/>
        </w:rPr>
      </w:pPr>
      <w:r>
        <w:rPr>
          <w:sz w:val="72"/>
          <w:szCs w:val="72"/>
          <w:color w:val="174B8B"/>
          <w:spacing w:val="-7"/>
        </w:rPr>
        <w:t>第五章</w:t>
      </w:r>
    </w:p>
    <w:p>
      <w:pPr>
        <w:pStyle w:val="BodyText"/>
        <w:ind w:left="4043"/>
        <w:spacing w:before="2" w:line="182" w:lineRule="auto"/>
        <w:rPr>
          <w:sz w:val="76"/>
          <w:szCs w:val="76"/>
        </w:rPr>
      </w:pPr>
      <w:r>
        <w:rPr>
          <w:sz w:val="76"/>
          <w:szCs w:val="76"/>
          <w:color w:val="174B8B"/>
          <w:spacing w:val="-5"/>
        </w:rPr>
        <w:t>宏观审慎管理</w:t>
      </w:r>
    </w:p>
    <w:p>
      <w:pPr>
        <w:spacing w:line="182" w:lineRule="auto"/>
        <w:sectPr>
          <w:headerReference w:type="default" r:id="rId234"/>
          <w:pgSz w:w="11906" w:h="16158"/>
          <w:pgMar w:top="400" w:right="0" w:bottom="400" w:left="0" w:header="0" w:footer="0" w:gutter="0"/>
        </w:sectPr>
        <w:rPr>
          <w:sz w:val="76"/>
          <w:szCs w:val="76"/>
        </w:rPr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spacing w:before="155"/>
        <w:rPr/>
      </w:pPr>
      <w:r/>
    </w:p>
    <w:p>
      <w:pPr>
        <w:sectPr>
          <w:headerReference w:type="default" r:id="rId235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4" w:right="356" w:firstLine="425"/>
        <w:spacing w:before="44" w:line="253" w:lineRule="auto"/>
        <w:jc w:val="both"/>
        <w:rPr/>
      </w:pPr>
      <w:bookmarkStart w:name="bookmark53" w:id="44"/>
      <w:bookmarkEnd w:id="44"/>
      <w:r>
        <w:rPr>
          <w:rFonts w:ascii="Times New Roman" w:hAnsi="Times New Roman" w:eastAsia="Times New Roman" w:cs="Times New Roman"/>
          <w:color w:val="231F20"/>
          <w:spacing w:val="19"/>
        </w:rPr>
        <w:t>2024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19"/>
        </w:rPr>
        <w:t>年，国际社会继续推动巴塞尔协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议Ⅲ等已议定的国际金融监管改革政策的实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施，就</w:t>
      </w:r>
      <w:r>
        <w:rPr>
          <w:rFonts w:ascii="Times New Roman" w:hAnsi="Times New Roman" w:eastAsia="Times New Roman" w:cs="Times New Roman"/>
          <w:color w:val="231F20"/>
          <w:spacing w:val="3"/>
        </w:rPr>
        <w:t>2023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3</w:t>
      </w:r>
      <w:r>
        <w:rPr>
          <w:color w:val="231F20"/>
          <w:spacing w:val="3"/>
        </w:rPr>
        <w:t>月美欧银行业风险事件反映的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薄弱环节提升银行业监管，持续关注和增强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非银行金融机构的稳健性，应对气候变化带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来的金融风险。面对复杂多变的国际形势，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我国统筹金融开放与安全，探索拓展中央银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行宏观审慎和金融稳定功能，强化宏观审慎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管理和系统性金融风险防范，牢牢守住不发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生系统性金融风险的底线。</w:t>
      </w:r>
    </w:p>
    <w:p>
      <w:pPr>
        <w:pStyle w:val="BodyText"/>
        <w:ind w:left="8" w:right="377" w:firstLine="473"/>
        <w:spacing w:before="399" w:line="170" w:lineRule="auto"/>
        <w:outlineLvl w:val="0"/>
        <w:rPr>
          <w:sz w:val="28"/>
          <w:szCs w:val="28"/>
        </w:rPr>
      </w:pPr>
      <w:bookmarkStart w:name="bookmark14" w:id="45"/>
      <w:bookmarkEnd w:id="45"/>
      <w:r>
        <w:rPr>
          <w:sz w:val="28"/>
          <w:szCs w:val="28"/>
          <w:color w:val="174B8B"/>
          <w:spacing w:val="1"/>
        </w:rPr>
        <w:t>一、国际金融监管改革及落实</w:t>
      </w:r>
      <w:r>
        <w:rPr>
          <w:sz w:val="28"/>
          <w:szCs w:val="28"/>
          <w:color w:val="174B8B"/>
          <w:spacing w:val="9"/>
        </w:rPr>
        <w:t xml:space="preserve"> </w:t>
      </w:r>
      <w:bookmarkStart w:name="bookmark14" w:id="46"/>
      <w:bookmarkEnd w:id="46"/>
      <w:r>
        <w:rPr>
          <w:sz w:val="28"/>
          <w:szCs w:val="28"/>
          <w:color w:val="174B8B"/>
          <w:spacing w:val="-3"/>
        </w:rPr>
        <w:t>进展</w:t>
      </w:r>
    </w:p>
    <w:p>
      <w:pPr>
        <w:pStyle w:val="BodyText"/>
        <w:ind w:left="6" w:right="362" w:firstLine="411"/>
        <w:spacing w:before="427" w:line="237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9"/>
        </w:rPr>
        <w:t>（一）推动全球银行业监管规则落</w:t>
      </w:r>
      <w:r>
        <w:rPr>
          <w:sz w:val="24"/>
          <w:szCs w:val="24"/>
          <w:color w:val="231F20"/>
          <w:spacing w:val="7"/>
        </w:rPr>
        <w:t xml:space="preserve"> </w:t>
      </w:r>
      <w:r>
        <w:rPr>
          <w:sz w:val="24"/>
          <w:szCs w:val="24"/>
          <w:color w:val="231F20"/>
          <w:spacing w:val="-2"/>
        </w:rPr>
        <w:t>地实施</w:t>
      </w:r>
    </w:p>
    <w:p>
      <w:pPr>
        <w:pStyle w:val="BodyText"/>
        <w:ind w:left="6" w:right="356" w:firstLine="455"/>
        <w:spacing w:before="106" w:line="249" w:lineRule="auto"/>
        <w:rPr/>
      </w:pPr>
      <w:r>
        <w:rPr>
          <w:color w:val="231F20"/>
        </w:rPr>
        <w:t>巴塞尔银行监管委员会（</w:t>
      </w:r>
      <w:r>
        <w:rPr>
          <w:rFonts w:ascii="Times New Roman" w:hAnsi="Times New Roman" w:eastAsia="Times New Roman" w:cs="Times New Roman"/>
          <w:color w:val="231F20"/>
        </w:rPr>
        <w:t>BCBS</w:t>
      </w:r>
      <w:r>
        <w:rPr>
          <w:color w:val="231F20"/>
        </w:rPr>
        <w:t>）强调，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9"/>
        </w:rPr>
        <w:t>成员经济体应及时、全面且一致地实施巴塞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尔协议Ⅲ。目前，约</w:t>
      </w:r>
      <w:r>
        <w:rPr>
          <w:rFonts w:ascii="Times New Roman" w:hAnsi="Times New Roman" w:eastAsia="Times New Roman" w:cs="Times New Roman"/>
          <w:color w:val="231F20"/>
          <w:spacing w:val="-1"/>
        </w:rPr>
        <w:t>70%</w:t>
      </w:r>
      <w:r>
        <w:rPr>
          <w:color w:val="231F20"/>
          <w:spacing w:val="-1"/>
        </w:rPr>
        <w:t>的成员经济体已经或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9"/>
        </w:rPr>
        <w:t>即将实施巴塞尔协议Ⅲ,中国已于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color w:val="231F20"/>
          <w:spacing w:val="9"/>
        </w:rPr>
        <w:t>年</w:t>
      </w:r>
      <w:r>
        <w:rPr>
          <w:rFonts w:ascii="Times New Roman" w:hAnsi="Times New Roman" w:eastAsia="Times New Roman" w:cs="Times New Roman"/>
          <w:color w:val="231F20"/>
          <w:spacing w:val="9"/>
        </w:rPr>
        <w:t>1</w:t>
      </w:r>
      <w:r>
        <w:rPr>
          <w:color w:val="231F20"/>
          <w:spacing w:val="9"/>
        </w:rPr>
        <w:t>月</w:t>
      </w:r>
      <w:r>
        <w:rPr>
          <w:color w:val="231F20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1 </w:t>
      </w:r>
      <w:r>
        <w:rPr>
          <w:color w:val="231F20"/>
          <w:spacing w:val="-1"/>
        </w:rPr>
        <w:t>日起正式实施《商业银行资本管理办法》。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同时，为进一步强化银行业监管、维护全球</w:t>
      </w:r>
      <w:r>
        <w:rPr>
          <w:color w:val="231F20"/>
        </w:rPr>
        <w:t xml:space="preserve"> </w:t>
      </w:r>
      <w:r>
        <w:rPr>
          <w:color w:val="231F20"/>
        </w:rPr>
        <w:t>金融稳定，</w:t>
      </w:r>
      <w:r>
        <w:rPr>
          <w:rFonts w:ascii="Times New Roman" w:hAnsi="Times New Roman" w:eastAsia="Times New Roman" w:cs="Times New Roman"/>
          <w:color w:val="231F20"/>
        </w:rPr>
        <w:t>BCBS</w:t>
      </w:r>
      <w:r>
        <w:rPr>
          <w:color w:val="231F20"/>
        </w:rPr>
        <w:t>重点推动了以下领域工作：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2"/>
        <w:spacing w:before="42" w:line="252" w:lineRule="auto"/>
        <w:jc w:val="both"/>
        <w:rPr/>
      </w:pPr>
      <w:r>
        <w:rPr>
          <w:color w:val="231F20"/>
          <w:spacing w:val="8"/>
        </w:rPr>
        <w:t>一是针对</w:t>
      </w:r>
      <w:r>
        <w:rPr>
          <w:rFonts w:ascii="Times New Roman" w:hAnsi="Times New Roman" w:eastAsia="Times New Roman" w:cs="Times New Roman"/>
          <w:color w:val="231F20"/>
          <w:spacing w:val="8"/>
        </w:rPr>
        <w:t>2023</w:t>
      </w:r>
      <w:r>
        <w:rPr>
          <w:color w:val="231F20"/>
          <w:spacing w:val="8"/>
        </w:rPr>
        <w:t>年欧美银行业风险事件反映出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的监管薄弱环节，持续提升监管有效性，就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流动性风险、银行账簿利率风险、银行商业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模式评估等方面的监管提供有效指导。二是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研究银行和非银行金融机构的关联性以及对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金融体系的影响，强调银行和监管机构应重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"/>
        </w:rPr>
        <w:t>视两者的密切关系和可能产生的风险。  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rFonts w:ascii="Times New Roman" w:hAnsi="Times New Roman" w:eastAsia="Times New Roman" w:cs="Times New Roman"/>
          <w:color w:val="231F20"/>
          <w:spacing w:val="6"/>
        </w:rPr>
        <w:t xml:space="preserve"> </w:t>
      </w:r>
      <w:r>
        <w:rPr>
          <w:color w:val="231F20"/>
          <w:spacing w:val="12"/>
        </w:rPr>
        <w:t>年</w:t>
      </w:r>
      <w:r>
        <w:rPr>
          <w:rFonts w:ascii="Times New Roman" w:hAnsi="Times New Roman" w:eastAsia="Times New Roman" w:cs="Times New Roman"/>
          <w:color w:val="231F20"/>
          <w:spacing w:val="12"/>
        </w:rPr>
        <w:t>12</w:t>
      </w:r>
      <w:r>
        <w:rPr>
          <w:color w:val="231F20"/>
          <w:spacing w:val="12"/>
        </w:rPr>
        <w:t>月， </w:t>
      </w:r>
      <w:r>
        <w:rPr>
          <w:rFonts w:ascii="Times New Roman" w:hAnsi="Times New Roman" w:eastAsia="Times New Roman" w:cs="Times New Roman"/>
          <w:color w:val="231F20"/>
        </w:rPr>
        <w:t>BCBS</w:t>
      </w:r>
      <w:r>
        <w:rPr>
          <w:color w:val="231F20"/>
          <w:spacing w:val="12"/>
        </w:rPr>
        <w:t>发布了《交易对手信用风险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管理指南》，旨在应对银行业长期以来存在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的交易对手信用风险管理短板。三是持续监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测加密资产、人工智能等数字化领域对银行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业的影响，发布了关于金融数字化的调研报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告，制定了《第三方风险管理原则》并公开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6"/>
        </w:rPr>
        <w:t>征求意见。</w:t>
      </w:r>
    </w:p>
    <w:p>
      <w:pPr>
        <w:pStyle w:val="BodyText"/>
        <w:ind w:left="414"/>
        <w:spacing w:before="105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2"/>
        </w:rPr>
        <w:t>（二）防范“大而不能倒”</w:t>
      </w:r>
    </w:p>
    <w:p>
      <w:pPr>
        <w:pStyle w:val="BodyText"/>
        <w:ind w:firstLine="425"/>
        <w:spacing w:before="251" w:line="254" w:lineRule="auto"/>
        <w:rPr/>
      </w:pPr>
      <w:r>
        <w:rPr>
          <w:rFonts w:ascii="Times New Roman" w:hAnsi="Times New Roman" w:eastAsia="Times New Roman" w:cs="Times New Roman"/>
          <w:color w:val="231F20"/>
          <w:spacing w:val="-1"/>
        </w:rPr>
        <w:t>2024</w:t>
      </w:r>
      <w:r>
        <w:rPr>
          <w:color w:val="231F20"/>
          <w:spacing w:val="-1"/>
        </w:rPr>
        <w:t>年</w:t>
      </w:r>
      <w:r>
        <w:rPr>
          <w:rFonts w:ascii="Times New Roman" w:hAnsi="Times New Roman" w:eastAsia="Times New Roman" w:cs="Times New Roman"/>
          <w:color w:val="231F20"/>
          <w:spacing w:val="-1"/>
        </w:rPr>
        <w:t>11</w:t>
      </w:r>
      <w:r>
        <w:rPr>
          <w:color w:val="231F20"/>
          <w:spacing w:val="-1"/>
        </w:rPr>
        <w:t>月，金融稳定理事会（</w:t>
      </w:r>
      <w:r>
        <w:rPr>
          <w:rFonts w:ascii="Times New Roman" w:hAnsi="Times New Roman" w:eastAsia="Times New Roman" w:cs="Times New Roman"/>
          <w:color w:val="231F20"/>
          <w:spacing w:val="-1"/>
        </w:rPr>
        <w:t>FSB</w:t>
      </w:r>
      <w:r>
        <w:rPr>
          <w:color w:val="231F20"/>
          <w:spacing w:val="-1"/>
        </w:rPr>
        <w:t>）公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8"/>
        </w:rPr>
        <w:t>布了基于</w:t>
      </w:r>
      <w:r>
        <w:rPr>
          <w:rFonts w:ascii="Times New Roman" w:hAnsi="Times New Roman" w:eastAsia="Times New Roman" w:cs="Times New Roman"/>
          <w:color w:val="231F20"/>
          <w:spacing w:val="8"/>
        </w:rPr>
        <w:t>2023</w:t>
      </w:r>
      <w:r>
        <w:rPr>
          <w:color w:val="231F20"/>
          <w:spacing w:val="8"/>
        </w:rPr>
        <w:t>年末数据测算的全球系统重要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8"/>
        </w:rPr>
        <w:t>性银行（</w:t>
      </w:r>
      <w:r>
        <w:rPr>
          <w:rFonts w:ascii="Times New Roman" w:hAnsi="Times New Roman" w:eastAsia="Times New Roman" w:cs="Times New Roman"/>
          <w:color w:val="231F20"/>
          <w:spacing w:val="8"/>
        </w:rPr>
        <w:t>G</w:t>
      </w:r>
      <w:r>
        <w:rPr>
          <w:color w:val="231F20"/>
          <w:spacing w:val="8"/>
        </w:rPr>
        <w:t>-</w:t>
      </w:r>
      <w:r>
        <w:rPr>
          <w:rFonts w:ascii="Times New Roman" w:hAnsi="Times New Roman" w:eastAsia="Times New Roman" w:cs="Times New Roman"/>
          <w:color w:val="231F20"/>
        </w:rPr>
        <w:t>SIBs</w:t>
      </w:r>
      <w:r>
        <w:rPr>
          <w:color w:val="231F20"/>
          <w:spacing w:val="8"/>
        </w:rPr>
        <w:t>）名单，</w:t>
      </w:r>
      <w:r>
        <w:rPr>
          <w:rFonts w:ascii="Times New Roman" w:hAnsi="Times New Roman" w:eastAsia="Times New Roman" w:cs="Times New Roman"/>
          <w:color w:val="231F20"/>
          <w:spacing w:val="8"/>
        </w:rPr>
        <w:t>29</w:t>
      </w:r>
      <w:r>
        <w:rPr>
          <w:color w:val="231F20"/>
          <w:spacing w:val="8"/>
        </w:rPr>
        <w:t>家银行入选，与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上年名单相同，但个别银行分组有所变化。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14"/>
        </w:rPr>
        <w:t>其中，法国农业信贷银行由第</w:t>
      </w:r>
      <w:r>
        <w:rPr>
          <w:rFonts w:ascii="Times New Roman" w:hAnsi="Times New Roman" w:eastAsia="Times New Roman" w:cs="Times New Roman"/>
          <w:color w:val="231F20"/>
          <w:spacing w:val="14"/>
        </w:rPr>
        <w:t>1</w:t>
      </w:r>
      <w:r>
        <w:rPr>
          <w:color w:val="231F20"/>
          <w:spacing w:val="14"/>
        </w:rPr>
        <w:t>组上升至第</w:t>
      </w:r>
      <w:r>
        <w:rPr>
          <w:color w:val="231F20"/>
          <w:spacing w:val="1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3"/>
        </w:rPr>
        <w:t>2</w:t>
      </w:r>
      <w:r>
        <w:rPr>
          <w:color w:val="231F20"/>
          <w:spacing w:val="13"/>
        </w:rPr>
        <w:t>组，美国银行从第</w:t>
      </w:r>
      <w:r>
        <w:rPr>
          <w:rFonts w:ascii="Times New Roman" w:hAnsi="Times New Roman" w:eastAsia="Times New Roman" w:cs="Times New Roman"/>
          <w:color w:val="231F20"/>
          <w:spacing w:val="13"/>
        </w:rPr>
        <w:t>3</w:t>
      </w:r>
      <w:r>
        <w:rPr>
          <w:color w:val="231F20"/>
          <w:spacing w:val="13"/>
        </w:rPr>
        <w:t>组下降至第</w:t>
      </w:r>
      <w:r>
        <w:rPr>
          <w:rFonts w:ascii="Times New Roman" w:hAnsi="Times New Roman" w:eastAsia="Times New Roman" w:cs="Times New Roman"/>
          <w:color w:val="231F20"/>
          <w:spacing w:val="13"/>
        </w:rPr>
        <w:t>2</w:t>
      </w:r>
      <w:r>
        <w:rPr>
          <w:color w:val="231F20"/>
          <w:spacing w:val="13"/>
        </w:rPr>
        <w:t>组（见表</w:t>
      </w:r>
      <w:r>
        <w:rPr>
          <w:color w:val="231F20"/>
          <w:spacing w:val="1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5</w:t>
      </w:r>
      <w:r>
        <w:rPr>
          <w:color w:val="231F20"/>
          <w:spacing w:val="4"/>
        </w:rPr>
        <w:t>-</w:t>
      </w:r>
      <w:r>
        <w:rPr>
          <w:rFonts w:ascii="Times New Roman" w:hAnsi="Times New Roman" w:eastAsia="Times New Roman" w:cs="Times New Roman"/>
          <w:color w:val="231F20"/>
          <w:spacing w:val="4"/>
        </w:rPr>
        <w:t>1</w:t>
      </w:r>
      <w:r>
        <w:rPr>
          <w:color w:val="231F20"/>
          <w:spacing w:val="4"/>
        </w:rPr>
        <w:t>）。</w:t>
      </w:r>
    </w:p>
    <w:p>
      <w:pPr>
        <w:spacing w:line="254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5" w:space="100"/>
            <w:col w:w="4165" w:space="0"/>
          </w:cols>
        </w:sectPr>
        <w:rPr/>
      </w:pPr>
    </w:p>
    <w:p>
      <w:pPr>
        <w:pStyle w:val="BodyText"/>
        <w:ind w:left="415"/>
        <w:spacing w:before="148" w:line="208" w:lineRule="auto"/>
        <w:rPr/>
      </w:pPr>
      <w:r>
        <w:rPr>
          <w:color w:val="174B8B"/>
          <w:spacing w:val="1"/>
        </w:rPr>
        <w:t>表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>5</w:t>
      </w:r>
      <w:r>
        <w:rPr>
          <w:color w:val="174B8B"/>
          <w:spacing w:val="1"/>
        </w:rPr>
        <w:t>-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>1                                               </w:t>
      </w:r>
      <w:r>
        <w:rPr>
          <w:color w:val="174B8B"/>
          <w:spacing w:val="1"/>
        </w:rPr>
        <w:t>全球系统重要性</w:t>
      </w:r>
      <w:r>
        <w:rPr>
          <w:color w:val="174B8B"/>
        </w:rPr>
        <w:t>银行</w:t>
      </w:r>
    </w:p>
    <w:p>
      <w:pPr>
        <w:spacing w:line="22" w:lineRule="exact"/>
        <w:rPr/>
      </w:pPr>
      <w:r/>
    </w:p>
    <w:tbl>
      <w:tblPr>
        <w:tblStyle w:val="TableNormal"/>
        <w:tblW w:w="8787" w:type="dxa"/>
        <w:tblInd w:w="0" w:type="dxa"/>
        <w:tblLayout w:type="fixed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</w:tblPr>
      <w:tblGrid>
        <w:gridCol w:w="2197"/>
        <w:gridCol w:w="6590"/>
      </w:tblGrid>
      <w:tr>
        <w:trPr>
          <w:trHeight w:val="452" w:hRule="atLeast"/>
        </w:trPr>
        <w:tc>
          <w:tcPr>
            <w:shd w:val="clear" w:fill="174B8B"/>
            <w:tcW w:w="2197" w:type="dxa"/>
            <w:vAlign w:val="top"/>
            <w:tcBorders>
              <w:left w:val="nil"/>
              <w:right w:val="single" w:color="FFFFFF" w:sz="4" w:space="0"/>
            </w:tcBorders>
          </w:tcPr>
          <w:p>
            <w:pPr>
              <w:pStyle w:val="TableText"/>
              <w:ind w:left="205"/>
              <w:spacing w:before="141" w:line="172" w:lineRule="auto"/>
              <w:rPr/>
            </w:pPr>
            <w:r>
              <w:rPr>
                <w:color w:val="FFFFFF"/>
                <w:spacing w:val="-1"/>
              </w:rPr>
              <w:t>组别（附加资本要求）</w:t>
            </w:r>
          </w:p>
        </w:tc>
        <w:tc>
          <w:tcPr>
            <w:shd w:val="clear" w:fill="174B8B"/>
            <w:tcW w:w="6590" w:type="dxa"/>
            <w:vAlign w:val="top"/>
            <w:tcBorders>
              <w:right w:val="nil"/>
              <w:left w:val="single" w:color="FFFFFF" w:sz="4" w:space="0"/>
            </w:tcBorders>
          </w:tcPr>
          <w:p>
            <w:pPr>
              <w:pStyle w:val="TableText"/>
              <w:ind w:left="2488"/>
              <w:spacing w:before="141" w:line="174" w:lineRule="auto"/>
              <w:rPr/>
            </w:pPr>
            <w:r>
              <w:rPr>
                <w:color w:val="FFFFFF"/>
                <w:spacing w:val="-1"/>
              </w:rPr>
              <w:t>全球系统重要性银行</w:t>
            </w:r>
          </w:p>
        </w:tc>
      </w:tr>
      <w:tr>
        <w:trPr>
          <w:trHeight w:val="776" w:hRule="atLeast"/>
        </w:trPr>
        <w:tc>
          <w:tcPr>
            <w:shd w:val="clear" w:fill="D4E5F5"/>
            <w:tcW w:w="2197" w:type="dxa"/>
            <w:vAlign w:val="top"/>
            <w:tcBorders>
              <w:left w:val="nil"/>
              <w:right w:val="single" w:color="FFFFFF" w:sz="4" w:space="0"/>
            </w:tcBorders>
          </w:tcPr>
          <w:p>
            <w:pPr>
              <w:pStyle w:val="TableText"/>
              <w:ind w:left="1056"/>
              <w:spacing w:before="177" w:line="166" w:lineRule="auto"/>
              <w:rPr/>
            </w:pPr>
            <w:r>
              <w:rPr>
                <w:color w:val="231F20"/>
              </w:rPr>
              <w:t>5</w:t>
            </w:r>
          </w:p>
          <w:p>
            <w:pPr>
              <w:pStyle w:val="TableText"/>
              <w:ind w:left="721"/>
              <w:spacing w:line="198" w:lineRule="auto"/>
              <w:rPr/>
            </w:pPr>
            <w:r>
              <w:rPr>
                <w:color w:val="231F20"/>
                <w:spacing w:val="-4"/>
              </w:rPr>
              <w:t>（3.5%）</w:t>
            </w:r>
          </w:p>
        </w:tc>
        <w:tc>
          <w:tcPr>
            <w:shd w:val="clear" w:fill="D4E5F5"/>
            <w:tcW w:w="6590" w:type="dxa"/>
            <w:vAlign w:val="top"/>
            <w:tcBorders>
              <w:right w:val="nil"/>
              <w:left w:val="single" w:color="FFFFFF" w:sz="4" w:space="0"/>
            </w:tcBorders>
          </w:tcPr>
          <w:p>
            <w:pPr>
              <w:pStyle w:val="TableText"/>
              <w:ind w:left="3209"/>
              <w:spacing w:before="306" w:line="173" w:lineRule="auto"/>
              <w:rPr/>
            </w:pPr>
            <w:r>
              <w:rPr>
                <w:color w:val="231F20"/>
              </w:rPr>
              <w:t>空</w:t>
            </w:r>
          </w:p>
        </w:tc>
      </w:tr>
      <w:tr>
        <w:trPr>
          <w:trHeight w:val="781" w:hRule="atLeast"/>
        </w:trPr>
        <w:tc>
          <w:tcPr>
            <w:shd w:val="clear" w:fill="D4E5F5"/>
            <w:tcW w:w="2197" w:type="dxa"/>
            <w:vAlign w:val="top"/>
            <w:tcBorders>
              <w:left w:val="nil"/>
              <w:right w:val="single" w:color="FFFFFF" w:sz="4" w:space="0"/>
            </w:tcBorders>
          </w:tcPr>
          <w:p>
            <w:pPr>
              <w:pStyle w:val="TableText"/>
              <w:ind w:left="1053"/>
              <w:spacing w:before="179" w:line="166" w:lineRule="auto"/>
              <w:rPr/>
            </w:pPr>
            <w:r>
              <w:rPr>
                <w:color w:val="231F20"/>
              </w:rPr>
              <w:t>4</w:t>
            </w:r>
          </w:p>
          <w:p>
            <w:pPr>
              <w:pStyle w:val="TableText"/>
              <w:ind w:left="721"/>
              <w:spacing w:line="198" w:lineRule="auto"/>
              <w:rPr/>
            </w:pPr>
            <w:r>
              <w:rPr>
                <w:color w:val="231F20"/>
                <w:spacing w:val="-4"/>
              </w:rPr>
              <w:t>（2.5%）</w:t>
            </w:r>
          </w:p>
        </w:tc>
        <w:tc>
          <w:tcPr>
            <w:shd w:val="clear" w:fill="D4E5F5"/>
            <w:tcW w:w="6590" w:type="dxa"/>
            <w:vAlign w:val="top"/>
            <w:tcBorders>
              <w:right w:val="nil"/>
              <w:left w:val="single" w:color="FFFFFF" w:sz="4" w:space="0"/>
            </w:tcBorders>
          </w:tcPr>
          <w:p>
            <w:pPr>
              <w:pStyle w:val="TableText"/>
              <w:ind w:left="2574"/>
              <w:spacing w:before="303" w:line="177" w:lineRule="auto"/>
              <w:rPr/>
            </w:pPr>
            <w:r>
              <w:rPr>
                <w:color w:val="231F20"/>
                <w:spacing w:val="-1"/>
              </w:rPr>
              <w:t>美国摩根大通集团</w:t>
            </w:r>
          </w:p>
        </w:tc>
      </w:tr>
    </w:tbl>
    <w:p>
      <w:pPr>
        <w:pStyle w:val="BodyText"/>
        <w:spacing w:line="14" w:lineRule="auto"/>
        <w:rPr>
          <w:sz w:val="2"/>
        </w:rPr>
      </w:pPr>
      <w:r/>
    </w:p>
    <w:p>
      <w:pPr>
        <w:spacing w:line="14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>
          <w:sz w:val="2"/>
          <w:szCs w:val="2"/>
        </w:rPr>
      </w:pPr>
    </w:p>
    <w:p>
      <w:pPr>
        <w:pStyle w:val="BodyText"/>
        <w:spacing w:line="317" w:lineRule="auto"/>
        <w:rPr/>
      </w:pPr>
      <w:r/>
    </w:p>
    <w:p>
      <w:pPr>
        <w:pStyle w:val="BodyText"/>
        <w:ind w:left="8090"/>
        <w:spacing w:before="88" w:line="175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1"/>
        </w:rPr>
        <w:t>续表</w:t>
      </w:r>
    </w:p>
    <w:p>
      <w:pPr>
        <w:spacing w:line="35" w:lineRule="exact"/>
        <w:rPr/>
      </w:pPr>
      <w:r/>
    </w:p>
    <w:tbl>
      <w:tblPr>
        <w:tblStyle w:val="TableNormal"/>
        <w:tblW w:w="87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197"/>
        <w:gridCol w:w="6590"/>
      </w:tblGrid>
      <w:tr>
        <w:trPr>
          <w:trHeight w:val="448" w:hRule="atLeast"/>
        </w:trPr>
        <w:tc>
          <w:tcPr>
            <w:shd w:val="clear" w:fill="174B8B"/>
            <w:tcW w:w="2197" w:type="dxa"/>
            <w:vAlign w:val="top"/>
            <w:tcBorders>
              <w:left w:val="nil"/>
            </w:tcBorders>
          </w:tcPr>
          <w:p>
            <w:pPr>
              <w:pStyle w:val="TableText"/>
              <w:ind w:left="205"/>
              <w:spacing w:before="137" w:line="172" w:lineRule="auto"/>
              <w:rPr/>
            </w:pPr>
            <w:r>
              <w:rPr>
                <w:color w:val="FFFFFF"/>
                <w:spacing w:val="-1"/>
              </w:rPr>
              <w:t>组别（附加资本要求）</w:t>
            </w:r>
          </w:p>
        </w:tc>
        <w:tc>
          <w:tcPr>
            <w:shd w:val="clear" w:fill="174B8B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488"/>
              <w:spacing w:before="136" w:line="174" w:lineRule="auto"/>
              <w:rPr/>
            </w:pPr>
            <w:r>
              <w:rPr>
                <w:color w:val="FFFFFF"/>
                <w:spacing w:val="-1"/>
              </w:rPr>
              <w:t>全球系统重要性银行</w:t>
            </w:r>
          </w:p>
        </w:tc>
      </w:tr>
      <w:tr>
        <w:trPr>
          <w:trHeight w:val="394" w:hRule="atLeast"/>
        </w:trPr>
        <w:tc>
          <w:tcPr>
            <w:shd w:val="clear" w:fill="D4E5F5"/>
            <w:tcW w:w="2197" w:type="dxa"/>
            <w:vAlign w:val="top"/>
            <w:vMerge w:val="restart"/>
            <w:tcBorders>
              <w:left w:val="nil"/>
              <w:bottom w:val="nil"/>
            </w:tcBorders>
          </w:tcPr>
          <w:p>
            <w:pPr>
              <w:pStyle w:val="TableText"/>
              <w:ind w:left="1059"/>
              <w:spacing w:before="386" w:line="166" w:lineRule="auto"/>
              <w:rPr/>
            </w:pPr>
            <w:r>
              <w:rPr>
                <w:color w:val="231F20"/>
              </w:rPr>
              <w:t>3</w:t>
            </w:r>
          </w:p>
          <w:p>
            <w:pPr>
              <w:pStyle w:val="TableText"/>
              <w:ind w:left="721"/>
              <w:spacing w:before="1" w:line="198" w:lineRule="auto"/>
              <w:rPr/>
            </w:pPr>
            <w:r>
              <w:rPr>
                <w:color w:val="231F20"/>
                <w:spacing w:val="-4"/>
              </w:rPr>
              <w:t>（2.0%）</w:t>
            </w:r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54"/>
              <w:spacing w:before="107" w:line="176" w:lineRule="auto"/>
              <w:rPr/>
            </w:pPr>
            <w:r>
              <w:rPr>
                <w:color w:val="231F20"/>
                <w:spacing w:val="-1"/>
              </w:rPr>
              <w:t>美国花旗银行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940"/>
              <w:spacing w:before="107" w:line="175" w:lineRule="auto"/>
              <w:rPr/>
            </w:pPr>
            <w:r>
              <w:rPr>
                <w:color w:val="231F20"/>
                <w:spacing w:val="-2"/>
              </w:rPr>
              <w:t>汇丰银行</w:t>
            </w:r>
          </w:p>
        </w:tc>
      </w:tr>
      <w:tr>
        <w:trPr>
          <w:trHeight w:val="393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74"/>
              <w:spacing w:before="107" w:line="176" w:lineRule="auto"/>
              <w:rPr/>
            </w:pPr>
            <w:r>
              <w:rPr>
                <w:color w:val="231F20"/>
                <w:spacing w:val="-4"/>
              </w:rPr>
              <w:t>中国农业银行</w:t>
            </w:r>
          </w:p>
        </w:tc>
      </w:tr>
      <w:tr>
        <w:trPr>
          <w:trHeight w:val="394" w:hRule="atLeast"/>
        </w:trPr>
        <w:tc>
          <w:tcPr>
            <w:shd w:val="clear" w:fill="D4E5F5"/>
            <w:tcW w:w="2197" w:type="dxa"/>
            <w:vAlign w:val="top"/>
            <w:vMerge w:val="restart"/>
            <w:tcBorders>
              <w:left w:val="nil"/>
              <w:bottom w:val="nil"/>
            </w:tcBorders>
          </w:tcPr>
          <w:p>
            <w:pPr>
              <w:pStyle w:val="TableText"/>
              <w:spacing w:line="254" w:lineRule="auto"/>
              <w:rPr>
                <w:sz w:val="21"/>
              </w:rPr>
            </w:pPr>
            <w:r/>
          </w:p>
          <w:p>
            <w:pPr>
              <w:pStyle w:val="TableText"/>
              <w:spacing w:line="255" w:lineRule="auto"/>
              <w:rPr>
                <w:sz w:val="21"/>
              </w:rPr>
            </w:pPr>
            <w:r/>
          </w:p>
          <w:p>
            <w:pPr>
              <w:pStyle w:val="TableText"/>
              <w:spacing w:line="255" w:lineRule="auto"/>
              <w:rPr>
                <w:sz w:val="21"/>
              </w:rPr>
            </w:pPr>
            <w:r/>
          </w:p>
          <w:p>
            <w:pPr>
              <w:pStyle w:val="TableText"/>
              <w:spacing w:line="255" w:lineRule="auto"/>
              <w:rPr>
                <w:sz w:val="21"/>
              </w:rPr>
            </w:pPr>
            <w:r/>
          </w:p>
          <w:p>
            <w:pPr>
              <w:pStyle w:val="TableText"/>
              <w:ind w:left="1056"/>
              <w:spacing w:before="87" w:line="166" w:lineRule="auto"/>
              <w:rPr/>
            </w:pPr>
            <w:r>
              <w:rPr>
                <w:color w:val="231F20"/>
              </w:rPr>
              <w:t>2</w:t>
            </w:r>
          </w:p>
          <w:p>
            <w:pPr>
              <w:pStyle w:val="TableText"/>
              <w:ind w:left="721"/>
              <w:spacing w:before="1" w:line="198" w:lineRule="auto"/>
              <w:rPr/>
            </w:pPr>
            <w:r>
              <w:rPr>
                <w:color w:val="231F20"/>
                <w:spacing w:val="-4"/>
              </w:rPr>
              <w:t>（1.5%）</w:t>
            </w:r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934"/>
              <w:spacing w:before="109" w:line="175" w:lineRule="auto"/>
              <w:rPr/>
            </w:pPr>
            <w:r>
              <w:rPr>
                <w:color w:val="231F20"/>
                <w:spacing w:val="-1"/>
              </w:rPr>
              <w:t>美国银行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954"/>
              <w:spacing w:before="109" w:line="175" w:lineRule="auto"/>
              <w:rPr/>
            </w:pPr>
            <w:r>
              <w:rPr>
                <w:color w:val="231F20"/>
                <w:spacing w:val="-5"/>
              </w:rPr>
              <w:t>中国银行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665"/>
              <w:spacing w:before="109" w:line="176" w:lineRule="auto"/>
              <w:rPr/>
            </w:pPr>
            <w:r>
              <w:rPr>
                <w:color w:val="231F20"/>
                <w:spacing w:val="-1"/>
              </w:rPr>
              <w:t>英国巴克莱银行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56"/>
              <w:spacing w:before="109" w:line="176" w:lineRule="auto"/>
              <w:rPr/>
            </w:pPr>
            <w:r>
              <w:rPr>
                <w:color w:val="231F20"/>
                <w:spacing w:val="-1"/>
              </w:rPr>
              <w:t>法国巴黎银行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74"/>
              <w:spacing w:before="105" w:line="178" w:lineRule="auto"/>
              <w:rPr/>
            </w:pPr>
            <w:r>
              <w:rPr>
                <w:color w:val="231F20"/>
                <w:spacing w:val="-4"/>
              </w:rPr>
              <w:t>中国建设银行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846"/>
              <w:spacing w:before="108" w:line="177" w:lineRule="auto"/>
              <w:rPr/>
            </w:pPr>
            <w:r>
              <w:rPr>
                <w:color w:val="231F20"/>
                <w:spacing w:val="-1"/>
              </w:rPr>
              <w:t>德意志银行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54"/>
              <w:spacing w:before="108" w:line="178" w:lineRule="auto"/>
              <w:rPr/>
            </w:pPr>
            <w:r>
              <w:rPr>
                <w:color w:val="231F20"/>
                <w:spacing w:val="-1"/>
              </w:rPr>
              <w:t>美国高盛集团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576"/>
              <w:spacing w:before="107" w:line="179" w:lineRule="auto"/>
              <w:rPr/>
            </w:pPr>
            <w:r>
              <w:rPr>
                <w:color w:val="231F20"/>
                <w:spacing w:val="-1"/>
              </w:rPr>
              <w:t>法国农业信贷银行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74"/>
              <w:spacing w:before="109" w:line="178" w:lineRule="auto"/>
              <w:rPr/>
            </w:pPr>
            <w:r>
              <w:rPr>
                <w:color w:val="231F20"/>
                <w:spacing w:val="-4"/>
              </w:rPr>
              <w:t>中国工商银行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579"/>
              <w:spacing w:before="109" w:line="177" w:lineRule="auto"/>
              <w:rPr/>
            </w:pPr>
            <w:r>
              <w:rPr>
                <w:color w:val="231F20"/>
                <w:spacing w:val="-1"/>
              </w:rPr>
              <w:t>三菱日联金融集团</w:t>
            </w:r>
          </w:p>
        </w:tc>
      </w:tr>
      <w:tr>
        <w:trPr>
          <w:trHeight w:val="394" w:hRule="atLeast"/>
        </w:trPr>
        <w:tc>
          <w:tcPr>
            <w:shd w:val="clear" w:fill="D4E5F5"/>
            <w:tcW w:w="2197" w:type="dxa"/>
            <w:vAlign w:val="top"/>
            <w:vMerge w:val="restart"/>
            <w:tcBorders>
              <w:left w:val="nil"/>
              <w:bottom w:val="nil"/>
            </w:tcBorders>
          </w:tcPr>
          <w:p>
            <w:pPr>
              <w:pStyle w:val="TableText"/>
              <w:spacing w:line="270" w:lineRule="auto"/>
              <w:rPr>
                <w:sz w:val="21"/>
              </w:rPr>
            </w:pPr>
            <w:r/>
          </w:p>
          <w:p>
            <w:pPr>
              <w:pStyle w:val="TableText"/>
              <w:spacing w:line="270" w:lineRule="auto"/>
              <w:rPr>
                <w:sz w:val="21"/>
              </w:rPr>
            </w:pPr>
            <w:r/>
          </w:p>
          <w:p>
            <w:pPr>
              <w:pStyle w:val="TableText"/>
              <w:spacing w:line="270" w:lineRule="auto"/>
              <w:rPr>
                <w:sz w:val="21"/>
              </w:rPr>
            </w:pPr>
            <w:r/>
          </w:p>
          <w:p>
            <w:pPr>
              <w:pStyle w:val="TableText"/>
              <w:spacing w:line="270" w:lineRule="auto"/>
              <w:rPr>
                <w:sz w:val="21"/>
              </w:rPr>
            </w:pPr>
            <w:r/>
          </w:p>
          <w:p>
            <w:pPr>
              <w:pStyle w:val="TableText"/>
              <w:spacing w:line="270" w:lineRule="auto"/>
              <w:rPr>
                <w:sz w:val="21"/>
              </w:rPr>
            </w:pPr>
            <w:r/>
          </w:p>
          <w:p>
            <w:pPr>
              <w:pStyle w:val="TableText"/>
              <w:spacing w:line="271" w:lineRule="auto"/>
              <w:rPr>
                <w:sz w:val="21"/>
              </w:rPr>
            </w:pPr>
            <w:r/>
          </w:p>
          <w:p>
            <w:pPr>
              <w:pStyle w:val="TableText"/>
              <w:ind w:left="1070"/>
              <w:spacing w:before="87" w:line="166" w:lineRule="auto"/>
              <w:rPr/>
            </w:pPr>
            <w:r>
              <w:rPr>
                <w:color w:val="231F20"/>
              </w:rPr>
              <w:t>1</w:t>
            </w:r>
          </w:p>
          <w:p>
            <w:pPr>
              <w:pStyle w:val="TableText"/>
              <w:ind w:left="721"/>
              <w:spacing w:before="1" w:line="198" w:lineRule="auto"/>
              <w:rPr/>
            </w:pPr>
            <w:r>
              <w:rPr>
                <w:color w:val="231F20"/>
                <w:spacing w:val="-4"/>
              </w:rPr>
              <w:t>（1.0%）</w:t>
            </w:r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935"/>
              <w:spacing w:before="110" w:line="177" w:lineRule="auto"/>
              <w:rPr/>
            </w:pPr>
            <w:r>
              <w:rPr>
                <w:color w:val="231F20"/>
                <w:spacing w:val="-1"/>
              </w:rPr>
              <w:t>瑞银集团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936"/>
              <w:spacing w:before="111" w:line="175" w:lineRule="auto"/>
              <w:rPr/>
            </w:pPr>
            <w:r>
              <w:rPr>
                <w:color w:val="231F20"/>
                <w:spacing w:val="-1"/>
              </w:rPr>
              <w:t>交通银行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56"/>
              <w:spacing w:before="109" w:line="178" w:lineRule="auto"/>
              <w:rPr/>
            </w:pPr>
            <w:r>
              <w:rPr>
                <w:color w:val="231F20"/>
                <w:spacing w:val="-1"/>
              </w:rPr>
              <w:t>纽约梅隆银行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576"/>
              <w:spacing w:before="110" w:line="178" w:lineRule="auto"/>
              <w:rPr/>
            </w:pPr>
            <w:r>
              <w:rPr>
                <w:color w:val="231F20"/>
                <w:spacing w:val="-1"/>
              </w:rPr>
              <w:t>法国大众储蓄银行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56"/>
              <w:spacing w:before="110" w:line="177" w:lineRule="auto"/>
              <w:rPr/>
            </w:pPr>
            <w:r>
              <w:rPr>
                <w:color w:val="231F20"/>
                <w:spacing w:val="-1"/>
              </w:rPr>
              <w:t>荷兰安智银行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614"/>
              <w:spacing w:before="111" w:line="176" w:lineRule="auto"/>
              <w:rPr/>
            </w:pPr>
            <w:r>
              <w:rPr>
                <w:color w:val="231F20"/>
                <w:spacing w:val="-5"/>
              </w:rPr>
              <w:t>日本瑞穗实业银行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484"/>
              <w:spacing w:before="111" w:line="177" w:lineRule="auto"/>
              <w:rPr/>
            </w:pPr>
            <w:r>
              <w:rPr>
                <w:color w:val="231F20"/>
                <w:spacing w:val="-1"/>
              </w:rPr>
              <w:t>美国摩根士丹利集团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666"/>
              <w:spacing w:before="111" w:line="177" w:lineRule="auto"/>
              <w:rPr/>
            </w:pPr>
            <w:r>
              <w:rPr>
                <w:color w:val="231F20"/>
                <w:spacing w:val="-1"/>
              </w:rPr>
              <w:t>加拿大皇家银行</w:t>
            </w:r>
          </w:p>
        </w:tc>
      </w:tr>
      <w:tr>
        <w:trPr>
          <w:trHeight w:val="393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578"/>
              <w:spacing w:before="112" w:line="176" w:lineRule="auto"/>
              <w:rPr/>
            </w:pPr>
            <w:r>
              <w:rPr>
                <w:color w:val="231F20"/>
                <w:spacing w:val="-1"/>
              </w:rPr>
              <w:t>西班牙桑坦德银行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56"/>
              <w:spacing w:before="114" w:line="176" w:lineRule="auto"/>
              <w:rPr/>
            </w:pPr>
            <w:r>
              <w:rPr>
                <w:color w:val="231F20"/>
                <w:spacing w:val="-1"/>
              </w:rPr>
              <w:t>法国兴业银行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936"/>
              <w:spacing w:before="114" w:line="176" w:lineRule="auto"/>
              <w:rPr/>
            </w:pPr>
            <w:r>
              <w:rPr>
                <w:color w:val="231F20"/>
                <w:spacing w:val="-1"/>
              </w:rPr>
              <w:t>渣打银行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54"/>
              <w:spacing w:before="113" w:line="177" w:lineRule="auto"/>
              <w:rPr/>
            </w:pPr>
            <w:r>
              <w:rPr>
                <w:color w:val="231F20"/>
                <w:spacing w:val="-1"/>
              </w:rPr>
              <w:t>美国道富银行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434"/>
              <w:spacing w:before="114" w:line="176" w:lineRule="auto"/>
              <w:rPr/>
            </w:pPr>
            <w:r>
              <w:rPr>
                <w:color w:val="231F20"/>
                <w:spacing w:val="-4"/>
              </w:rPr>
              <w:t>日本三井住友金融集团</w:t>
            </w:r>
          </w:p>
        </w:tc>
      </w:tr>
      <w:tr>
        <w:trPr>
          <w:trHeight w:val="394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396"/>
              <w:spacing w:before="114" w:line="176" w:lineRule="auto"/>
              <w:rPr/>
            </w:pPr>
            <w:r>
              <w:rPr>
                <w:color w:val="231F20"/>
                <w:spacing w:val="-1"/>
              </w:rPr>
              <w:t>加拿大多伦多道明银行</w:t>
            </w:r>
          </w:p>
        </w:tc>
      </w:tr>
      <w:tr>
        <w:trPr>
          <w:trHeight w:val="398" w:hRule="atLeast"/>
        </w:trPr>
        <w:tc>
          <w:tcPr>
            <w:tcW w:w="2197" w:type="dxa"/>
            <w:vAlign w:val="top"/>
            <w:vMerge w:val="continue"/>
            <w:tcBorders>
              <w:lef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6590" w:type="dxa"/>
            <w:vAlign w:val="top"/>
            <w:tcBorders>
              <w:right w:val="nil"/>
            </w:tcBorders>
          </w:tcPr>
          <w:p>
            <w:pPr>
              <w:pStyle w:val="TableText"/>
              <w:ind w:left="2754"/>
              <w:spacing w:before="115" w:line="176" w:lineRule="auto"/>
              <w:rPr/>
            </w:pPr>
            <w:r>
              <w:rPr>
                <w:color w:val="231F20"/>
                <w:spacing w:val="-1"/>
              </w:rPr>
              <w:t>美国富国银行</w:t>
            </w:r>
          </w:p>
        </w:tc>
      </w:tr>
    </w:tbl>
    <w:p>
      <w:pPr>
        <w:pStyle w:val="BodyText"/>
        <w:ind w:left="357"/>
        <w:spacing w:before="136" w:line="195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资料来源：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FSB</w:t>
      </w:r>
      <w:r>
        <w:rPr>
          <w:sz w:val="18"/>
          <w:szCs w:val="18"/>
          <w:color w:val="231F20"/>
          <w:spacing w:val="-2"/>
        </w:rPr>
        <w:t>《</w:t>
      </w:r>
      <w:r>
        <w:rPr>
          <w:sz w:val="18"/>
          <w:szCs w:val="18"/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2024</w:t>
      </w:r>
      <w:r>
        <w:rPr>
          <w:sz w:val="18"/>
          <w:szCs w:val="18"/>
          <w:color w:val="231F20"/>
          <w:spacing w:val="-2"/>
        </w:rPr>
        <w:t>年全球系统重要性银行名单》，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2024</w:t>
      </w:r>
      <w:r>
        <w:rPr>
          <w:sz w:val="18"/>
          <w:szCs w:val="18"/>
          <w:color w:val="231F20"/>
          <w:spacing w:val="-3"/>
        </w:rPr>
        <w:t>年</w:t>
      </w:r>
      <w:r>
        <w:rPr>
          <w:sz w:val="18"/>
          <w:szCs w:val="18"/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3"/>
        </w:rPr>
        <w:t>11</w:t>
      </w:r>
      <w:r>
        <w:rPr>
          <w:sz w:val="18"/>
          <w:szCs w:val="18"/>
          <w:color w:val="231F20"/>
          <w:spacing w:val="-3"/>
        </w:rPr>
        <w:t>月。</w:t>
      </w:r>
    </w:p>
    <w:p>
      <w:pPr>
        <w:spacing w:line="195" w:lineRule="auto"/>
        <w:sectPr>
          <w:headerReference w:type="default" r:id="rId236"/>
          <w:pgSz w:w="11906" w:h="16158"/>
          <w:pgMar w:top="1367" w:right="1700" w:bottom="400" w:left="1417" w:header="1044" w:footer="0" w:gutter="0"/>
        </w:sectPr>
        <w:rPr>
          <w:sz w:val="18"/>
          <w:szCs w:val="18"/>
        </w:rPr>
      </w:pPr>
    </w:p>
    <w:p>
      <w:pPr>
        <w:spacing w:before="149"/>
        <w:rPr/>
      </w:pPr>
      <w:r/>
    </w:p>
    <w:p>
      <w:pPr>
        <w:sectPr>
          <w:headerReference w:type="default" r:id="rId237"/>
          <w:pgSz w:w="11906" w:h="16158"/>
          <w:pgMar w:top="1384" w:right="1416" w:bottom="400" w:left="1703" w:header="1061" w:footer="0" w:gutter="0"/>
          <w:cols w:equalWidth="0" w:num="1">
            <w:col w:w="8787" w:space="0"/>
          </w:cols>
        </w:sectPr>
        <w:rPr/>
      </w:pPr>
    </w:p>
    <w:p>
      <w:pPr>
        <w:pStyle w:val="BodyText"/>
        <w:ind w:left="415"/>
        <w:spacing w:before="279" w:line="180" w:lineRule="auto"/>
        <w:rPr>
          <w:sz w:val="24"/>
          <w:szCs w:val="24"/>
        </w:rPr>
      </w:pPr>
      <w:bookmarkStart w:name="bookmark54" w:id="47"/>
      <w:bookmarkEnd w:id="47"/>
      <w:r>
        <w:rPr>
          <w:sz w:val="24"/>
          <w:szCs w:val="24"/>
          <w:color w:val="231F20"/>
          <w:spacing w:val="-3"/>
        </w:rPr>
        <w:t>（三）推动有效处置机制建设</w:t>
      </w:r>
    </w:p>
    <w:p>
      <w:pPr>
        <w:pStyle w:val="BodyText"/>
        <w:ind w:left="1" w:right="356" w:firstLine="428"/>
        <w:spacing w:before="245" w:line="251" w:lineRule="auto"/>
        <w:jc w:val="both"/>
        <w:rPr/>
      </w:pPr>
      <w:r>
        <w:rPr>
          <w:color w:val="231F20"/>
          <w:spacing w:val="23"/>
        </w:rPr>
        <w:t>推动《金融机构有效处置机制核心要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素》实施。</w:t>
      </w:r>
      <w:r>
        <w:rPr>
          <w:color w:val="231F20"/>
          <w:spacing w:val="47"/>
          <w:w w:val="10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9"/>
        </w:rPr>
        <w:t>2024</w:t>
      </w:r>
      <w:r>
        <w:rPr>
          <w:color w:val="231F20"/>
          <w:spacing w:val="9"/>
        </w:rPr>
        <w:t>年</w:t>
      </w:r>
      <w:r>
        <w:rPr>
          <w:rFonts w:ascii="Times New Roman" w:hAnsi="Times New Roman" w:eastAsia="Times New Roman" w:cs="Times New Roman"/>
          <w:color w:val="231F20"/>
          <w:spacing w:val="9"/>
        </w:rPr>
        <w:t>4</w:t>
      </w:r>
      <w:r>
        <w:rPr>
          <w:color w:val="231F20"/>
          <w:spacing w:val="9"/>
        </w:rPr>
        <w:t>月， 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9"/>
        </w:rPr>
        <w:t>完成《金融机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构有效处置机制核心要素》修订，进一步完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善金融市场基础设施（</w:t>
      </w:r>
      <w:r>
        <w:rPr>
          <w:rFonts w:ascii="Times New Roman" w:hAnsi="Times New Roman" w:eastAsia="Times New Roman" w:cs="Times New Roman"/>
          <w:color w:val="231F20"/>
        </w:rPr>
        <w:t>FMIs</w:t>
      </w:r>
      <w:r>
        <w:rPr>
          <w:color w:val="231F20"/>
          <w:spacing w:val="3"/>
        </w:rPr>
        <w:t>）处置框架。</w:t>
      </w:r>
      <w:r>
        <w:rPr>
          <w:color w:val="231F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12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</w:rPr>
        <w:t>月，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</w:rPr>
        <w:t>发布《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color w:val="231F20"/>
        </w:rPr>
        <w:t>年处置报告》。其中，银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行业方面，</w:t>
      </w:r>
      <w:r>
        <w:rPr>
          <w:color w:val="231F20"/>
          <w:spacing w:val="5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9"/>
        </w:rPr>
        <w:t>计划在</w:t>
      </w:r>
      <w:r>
        <w:rPr>
          <w:rFonts w:ascii="Times New Roman" w:hAnsi="Times New Roman" w:eastAsia="Times New Roman" w:cs="Times New Roman"/>
          <w:color w:val="231F20"/>
          <w:spacing w:val="9"/>
        </w:rPr>
        <w:t>2025</w:t>
      </w:r>
      <w:r>
        <w:rPr>
          <w:color w:val="231F20"/>
          <w:spacing w:val="9"/>
        </w:rPr>
        <w:t>年对</w:t>
      </w:r>
      <w:r>
        <w:rPr>
          <w:rFonts w:ascii="Times New Roman" w:hAnsi="Times New Roman" w:eastAsia="Times New Roman" w:cs="Times New Roman"/>
          <w:color w:val="231F20"/>
          <w:spacing w:val="9"/>
        </w:rPr>
        <w:t>G</w:t>
      </w:r>
      <w:r>
        <w:rPr>
          <w:color w:val="231F20"/>
          <w:spacing w:val="9"/>
        </w:rPr>
        <w:t>-</w:t>
      </w:r>
      <w:r>
        <w:rPr>
          <w:rFonts w:ascii="Times New Roman" w:hAnsi="Times New Roman" w:eastAsia="Times New Roman" w:cs="Times New Roman"/>
          <w:color w:val="231F20"/>
        </w:rPr>
        <w:t>SIBs</w:t>
      </w:r>
      <w:r>
        <w:rPr>
          <w:color w:val="231F20"/>
          <w:spacing w:val="9"/>
        </w:rPr>
        <w:t>开展</w:t>
      </w:r>
      <w:r>
        <w:rPr>
          <w:color w:val="231F20"/>
        </w:rPr>
        <w:t xml:space="preserve"> </w:t>
      </w:r>
      <w:r>
        <w:rPr>
          <w:color w:val="231F20"/>
        </w:rPr>
        <w:t>新一轮可处置性评估。同时，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</w:rPr>
        <w:t>提出其他可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能具有系统重要性的非</w:t>
      </w:r>
      <w:r>
        <w:rPr>
          <w:rFonts w:ascii="Times New Roman" w:hAnsi="Times New Roman" w:eastAsia="Times New Roman" w:cs="Times New Roman"/>
          <w:color w:val="231F20"/>
          <w:spacing w:val="9"/>
        </w:rPr>
        <w:t>G</w:t>
      </w:r>
      <w:r>
        <w:rPr>
          <w:color w:val="231F20"/>
          <w:spacing w:val="9"/>
        </w:rPr>
        <w:t>-</w:t>
      </w:r>
      <w:r>
        <w:rPr>
          <w:rFonts w:ascii="Times New Roman" w:hAnsi="Times New Roman" w:eastAsia="Times New Roman" w:cs="Times New Roman"/>
          <w:color w:val="231F20"/>
        </w:rPr>
        <w:t>SIBs</w:t>
      </w:r>
      <w:r>
        <w:rPr>
          <w:color w:val="231F20"/>
          <w:spacing w:val="9"/>
        </w:rPr>
        <w:t>也应适用处置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计划制定和执行等相关要求。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</w:rPr>
        <w:t>后续工作重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点将聚焦于完善公共部门后备融资机制、提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高资产负债转移工具的可操作性、推动各国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处置当局的跨境合作等。保险业方面，在全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球系统重要性保险公司认定工作暂停后，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rFonts w:ascii="Times New Roman" w:hAnsi="Times New Roman" w:eastAsia="Times New Roman" w:cs="Times New Roman"/>
          <w:color w:val="231F20"/>
          <w:spacing w:val="7"/>
        </w:rPr>
        <w:t xml:space="preserve"> </w:t>
      </w:r>
      <w:r>
        <w:rPr>
          <w:color w:val="231F20"/>
          <w:spacing w:val="8"/>
        </w:rPr>
        <w:t>于</w:t>
      </w:r>
      <w:r>
        <w:rPr>
          <w:rFonts w:ascii="Times New Roman" w:hAnsi="Times New Roman" w:eastAsia="Times New Roman" w:cs="Times New Roman"/>
          <w:color w:val="231F20"/>
          <w:spacing w:val="8"/>
        </w:rPr>
        <w:t>12</w:t>
      </w:r>
      <w:r>
        <w:rPr>
          <w:color w:val="231F20"/>
          <w:spacing w:val="8"/>
        </w:rPr>
        <w:t>月首次发布了</w:t>
      </w:r>
      <w:r>
        <w:rPr>
          <w:rFonts w:ascii="Times New Roman" w:hAnsi="Times New Roman" w:eastAsia="Times New Roman" w:cs="Times New Roman"/>
          <w:color w:val="231F20"/>
          <w:spacing w:val="8"/>
        </w:rPr>
        <w:t>13</w:t>
      </w:r>
      <w:r>
        <w:rPr>
          <w:color w:val="231F20"/>
          <w:spacing w:val="8"/>
        </w:rPr>
        <w:t>家部分适用《金融机构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7"/>
        </w:rPr>
        <w:t>有效处置机制核心要素》的保险公司名单，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这些保险公司需遵守处置计划和可处置性评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估等要求。中央对手方（</w:t>
      </w:r>
      <w:r>
        <w:rPr>
          <w:rFonts w:ascii="Times New Roman" w:hAnsi="Times New Roman" w:eastAsia="Times New Roman" w:cs="Times New Roman"/>
          <w:color w:val="231F20"/>
        </w:rPr>
        <w:t>CCPs</w:t>
      </w:r>
      <w:r>
        <w:rPr>
          <w:color w:val="231F20"/>
          <w:spacing w:val="6"/>
        </w:rPr>
        <w:t>）方面， 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rFonts w:ascii="Times New Roman" w:hAnsi="Times New Roman" w:eastAsia="Times New Roman" w:cs="Times New Roman"/>
          <w:color w:val="231F20"/>
          <w:spacing w:val="14"/>
          <w:w w:val="101"/>
        </w:rPr>
        <w:t xml:space="preserve"> </w:t>
      </w:r>
      <w:r>
        <w:rPr>
          <w:color w:val="231F20"/>
          <w:spacing w:val="6"/>
        </w:rPr>
        <w:t>发布了《关于</w:t>
      </w:r>
      <w:r>
        <w:rPr>
          <w:rFonts w:ascii="Times New Roman" w:hAnsi="Times New Roman" w:eastAsia="Times New Roman" w:cs="Times New Roman"/>
          <w:color w:val="231F20"/>
        </w:rPr>
        <w:t>CCPs</w:t>
      </w:r>
      <w:r>
        <w:rPr>
          <w:color w:val="231F20"/>
          <w:spacing w:val="6"/>
        </w:rPr>
        <w:t>处置金融资源和工具的报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告》，建议处置部门应具备用于</w:t>
      </w:r>
      <w:r>
        <w:rPr>
          <w:rFonts w:ascii="Times New Roman" w:hAnsi="Times New Roman" w:eastAsia="Times New Roman" w:cs="Times New Roman"/>
          <w:color w:val="231F20"/>
        </w:rPr>
        <w:t>CCPs</w:t>
      </w:r>
      <w:r>
        <w:rPr>
          <w:color w:val="231F20"/>
          <w:spacing w:val="6"/>
        </w:rPr>
        <w:t>处置的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资源和工具，具体包括内部纾困债券、处置基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金、用于处置的第三方保险等。</w:t>
      </w:r>
      <w:r>
        <w:rPr>
          <w:rFonts w:ascii="Times New Roman" w:hAnsi="Times New Roman" w:eastAsia="Times New Roman" w:cs="Times New Roman"/>
          <w:color w:val="231F20"/>
          <w:spacing w:val="-2"/>
        </w:rPr>
        <w:t>2024</w:t>
      </w:r>
      <w:r>
        <w:rPr>
          <w:color w:val="231F20"/>
          <w:spacing w:val="-2"/>
        </w:rPr>
        <w:t>年，在一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6"/>
        </w:rPr>
        <w:t>个以上经济体具有系统重要性的</w:t>
      </w:r>
      <w:r>
        <w:rPr>
          <w:rFonts w:ascii="Times New Roman" w:hAnsi="Times New Roman" w:eastAsia="Times New Roman" w:cs="Times New Roman"/>
          <w:color w:val="231F20"/>
        </w:rPr>
        <w:t>CCPs</w:t>
      </w:r>
      <w:r>
        <w:rPr>
          <w:color w:val="231F20"/>
          <w:spacing w:val="6"/>
        </w:rPr>
        <w:t>数量增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加至</w:t>
      </w:r>
      <w:r>
        <w:rPr>
          <w:rFonts w:ascii="Times New Roman" w:hAnsi="Times New Roman" w:eastAsia="Times New Roman" w:cs="Times New Roman"/>
          <w:color w:val="231F20"/>
          <w:spacing w:val="3"/>
        </w:rPr>
        <w:t>14</w:t>
      </w:r>
      <w:r>
        <w:rPr>
          <w:color w:val="231F20"/>
          <w:spacing w:val="3"/>
        </w:rPr>
        <w:t>家，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同比增加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家。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3"/>
        </w:rPr>
        <w:t>计划在</w:t>
      </w:r>
      <w:r>
        <w:rPr>
          <w:rFonts w:ascii="Times New Roman" w:hAnsi="Times New Roman" w:eastAsia="Times New Roman" w:cs="Times New Roman"/>
          <w:color w:val="231F20"/>
          <w:spacing w:val="3"/>
        </w:rPr>
        <w:t>2025</w:t>
      </w:r>
      <w:r>
        <w:rPr>
          <w:color w:val="231F20"/>
          <w:spacing w:val="3"/>
        </w:rPr>
        <w:t>年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完成</w:t>
      </w:r>
      <w:r>
        <w:rPr>
          <w:rFonts w:ascii="Times New Roman" w:hAnsi="Times New Roman" w:eastAsia="Times New Roman" w:cs="Times New Roman"/>
          <w:color w:val="231F20"/>
          <w:spacing w:val="-4"/>
        </w:rPr>
        <w:t>14</w:t>
      </w:r>
      <w:r>
        <w:rPr>
          <w:color w:val="231F20"/>
          <w:spacing w:val="-4"/>
        </w:rPr>
        <w:t>家</w:t>
      </w:r>
      <w:r>
        <w:rPr>
          <w:rFonts w:ascii="Times New Roman" w:hAnsi="Times New Roman" w:eastAsia="Times New Roman" w:cs="Times New Roman"/>
          <w:color w:val="231F20"/>
          <w:spacing w:val="-4"/>
        </w:rPr>
        <w:t>CCPs</w:t>
      </w:r>
      <w:r>
        <w:rPr>
          <w:color w:val="231F20"/>
          <w:spacing w:val="-4"/>
        </w:rPr>
        <w:t>两年一次的可处置性评估。</w:t>
      </w:r>
    </w:p>
    <w:p>
      <w:pPr>
        <w:pStyle w:val="BodyText"/>
        <w:ind w:left="6" w:right="362" w:firstLine="409"/>
        <w:spacing w:before="105" w:line="237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9"/>
        </w:rPr>
        <w:t>（四）持续监测非银行金融中介领</w:t>
      </w:r>
      <w:r>
        <w:rPr>
          <w:sz w:val="24"/>
          <w:szCs w:val="24"/>
          <w:color w:val="231F20"/>
          <w:spacing w:val="7"/>
        </w:rPr>
        <w:t xml:space="preserve"> </w:t>
      </w:r>
      <w:r>
        <w:rPr>
          <w:sz w:val="24"/>
          <w:szCs w:val="24"/>
          <w:color w:val="231F20"/>
          <w:spacing w:val="-2"/>
        </w:rPr>
        <w:t>域风险</w:t>
      </w:r>
    </w:p>
    <w:p>
      <w:pPr>
        <w:pStyle w:val="BodyText"/>
        <w:ind w:left="427"/>
        <w:spacing w:before="101" w:line="226" w:lineRule="exact"/>
        <w:rPr/>
      </w:pPr>
      <w:r>
        <w:rPr>
          <w:rFonts w:ascii="Times New Roman" w:hAnsi="Times New Roman" w:eastAsia="Times New Roman" w:cs="Times New Roman"/>
          <w:color w:val="231F20"/>
          <w:position w:val="-1"/>
        </w:rPr>
        <w:t>2024</w:t>
      </w:r>
      <w:r>
        <w:rPr>
          <w:color w:val="231F20"/>
          <w:position w:val="-1"/>
        </w:rPr>
        <w:t>年</w:t>
      </w:r>
      <w:r>
        <w:rPr>
          <w:rFonts w:ascii="Times New Roman" w:hAnsi="Times New Roman" w:eastAsia="Times New Roman" w:cs="Times New Roman"/>
          <w:color w:val="231F20"/>
          <w:position w:val="-1"/>
        </w:rPr>
        <w:t>12</w:t>
      </w:r>
      <w:r>
        <w:rPr>
          <w:color w:val="231F20"/>
          <w:position w:val="-1"/>
        </w:rPr>
        <w:t>月，</w:t>
      </w:r>
      <w:r>
        <w:rPr>
          <w:rFonts w:ascii="Times New Roman" w:hAnsi="Times New Roman" w:eastAsia="Times New Roman" w:cs="Times New Roman"/>
          <w:color w:val="231F20"/>
          <w:position w:val="-1"/>
        </w:rPr>
        <w:t>FSB</w:t>
      </w:r>
      <w:r>
        <w:rPr>
          <w:color w:val="231F20"/>
          <w:position w:val="-1"/>
        </w:rPr>
        <w:t>发布《</w:t>
      </w:r>
      <w:r>
        <w:rPr>
          <w:rFonts w:ascii="Times New Roman" w:hAnsi="Times New Roman" w:eastAsia="Times New Roman" w:cs="Times New Roman"/>
          <w:color w:val="231F20"/>
          <w:position w:val="-1"/>
        </w:rPr>
        <w:t>2024</w:t>
      </w:r>
      <w:r>
        <w:rPr>
          <w:color w:val="231F20"/>
          <w:position w:val="-1"/>
        </w:rPr>
        <w:t>年全球非银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"/>
        <w:spacing w:before="48" w:line="253" w:lineRule="auto"/>
        <w:rPr/>
      </w:pPr>
      <w:r>
        <w:rPr>
          <w:color w:val="231F20"/>
          <w:spacing w:val="6"/>
        </w:rPr>
        <w:t>行金融中介监测报告》，涵盖</w:t>
      </w:r>
      <w:r>
        <w:rPr>
          <w:rFonts w:ascii="Times New Roman" w:hAnsi="Times New Roman" w:eastAsia="Times New Roman" w:cs="Times New Roman"/>
          <w:color w:val="231F20"/>
          <w:spacing w:val="6"/>
        </w:rPr>
        <w:t>29</w:t>
      </w:r>
      <w:r>
        <w:rPr>
          <w:color w:val="231F20"/>
          <w:spacing w:val="6"/>
        </w:rPr>
        <w:t>个经济体。</w:t>
      </w:r>
      <w:r>
        <w:rPr>
          <w:color w:val="231F20"/>
          <w:spacing w:val="8"/>
        </w:rPr>
        <w:t xml:space="preserve">  </w:t>
      </w:r>
      <w:r>
        <w:rPr>
          <w:color w:val="231F20"/>
          <w:spacing w:val="3"/>
        </w:rPr>
        <w:t>广义口径估算结果显示，</w:t>
      </w:r>
      <w:r>
        <w:rPr>
          <w:color w:val="231F20"/>
          <w:spacing w:val="6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3"/>
        </w:rPr>
        <w:t>2023</w:t>
      </w:r>
      <w:r>
        <w:rPr>
          <w:color w:val="231F20"/>
          <w:spacing w:val="3"/>
        </w:rPr>
        <w:t>年末全球非银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行金融中介规模为</w:t>
      </w:r>
      <w:r>
        <w:rPr>
          <w:rFonts w:ascii="Times New Roman" w:hAnsi="Times New Roman" w:eastAsia="Times New Roman" w:cs="Times New Roman"/>
          <w:color w:val="231F20"/>
          <w:spacing w:val="5"/>
        </w:rPr>
        <w:t>238.8</w:t>
      </w:r>
      <w:r>
        <w:rPr>
          <w:color w:val="231F20"/>
          <w:spacing w:val="5"/>
        </w:rPr>
        <w:t>万亿美元，同比增长</w:t>
      </w:r>
      <w:r>
        <w:rPr>
          <w:color w:val="231F20"/>
          <w:spacing w:val="6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8.5%</w:t>
      </w:r>
      <w:r>
        <w:rPr>
          <w:color w:val="231F20"/>
        </w:rPr>
        <w:t>，约占受监测经济体金融资产的</w:t>
      </w:r>
      <w:r>
        <w:rPr>
          <w:rFonts w:ascii="Times New Roman" w:hAnsi="Times New Roman" w:eastAsia="Times New Roman" w:cs="Times New Roman"/>
          <w:color w:val="231F20"/>
        </w:rPr>
        <w:t>49.1%</w:t>
      </w:r>
      <w:r>
        <w:rPr>
          <w:rFonts w:ascii="Times New Roman" w:hAnsi="Times New Roman" w:eastAsia="Times New Roman" w:cs="Times New Roman"/>
          <w:color w:val="231F20"/>
          <w:spacing w:val="-22"/>
        </w:rPr>
        <w:t xml:space="preserve"> </w:t>
      </w:r>
      <w:r>
        <w:rPr>
          <w:color w:val="231F20"/>
        </w:rPr>
        <w:t>。 </w:t>
      </w:r>
      <w:r>
        <w:rPr>
          <w:color w:val="231F20"/>
          <w:spacing w:val="9"/>
        </w:rPr>
        <w:t>狭义口径估算结果显示，全球非银行金融中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介规模为</w:t>
      </w:r>
      <w:r>
        <w:rPr>
          <w:rFonts w:ascii="Times New Roman" w:hAnsi="Times New Roman" w:eastAsia="Times New Roman" w:cs="Times New Roman"/>
          <w:color w:val="231F20"/>
          <w:spacing w:val="8"/>
        </w:rPr>
        <w:t>70.2</w:t>
      </w:r>
      <w:r>
        <w:rPr>
          <w:color w:val="231F20"/>
          <w:spacing w:val="8"/>
        </w:rPr>
        <w:t>万亿美元，同比增长</w:t>
      </w:r>
      <w:r>
        <w:rPr>
          <w:rFonts w:ascii="Times New Roman" w:hAnsi="Times New Roman" w:eastAsia="Times New Roman" w:cs="Times New Roman"/>
          <w:color w:val="231F20"/>
          <w:spacing w:val="8"/>
        </w:rPr>
        <w:t>9.8%</w:t>
      </w:r>
      <w:r>
        <w:rPr>
          <w:color w:val="231F20"/>
          <w:spacing w:val="8"/>
        </w:rPr>
        <w:t>，约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占受监测经济体金融资产的</w:t>
      </w:r>
      <w:r>
        <w:rPr>
          <w:rFonts w:ascii="Times New Roman" w:hAnsi="Times New Roman" w:eastAsia="Times New Roman" w:cs="Times New Roman"/>
          <w:color w:val="231F20"/>
          <w:spacing w:val="1"/>
        </w:rPr>
        <w:t>14.6%</w:t>
      </w:r>
      <w:r>
        <w:rPr>
          <w:color w:val="231F20"/>
          <w:spacing w:val="1"/>
        </w:rPr>
        <w:t>。其中，中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国非银行金融中介狭义口径规模为</w:t>
      </w:r>
      <w:r>
        <w:rPr>
          <w:rFonts w:ascii="Times New Roman" w:hAnsi="Times New Roman" w:eastAsia="Times New Roman" w:cs="Times New Roman"/>
          <w:color w:val="231F20"/>
        </w:rPr>
        <w:t>10.3</w:t>
      </w:r>
      <w:r>
        <w:rPr>
          <w:color w:val="231F20"/>
        </w:rPr>
        <w:t>万亿美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元，位列美国（</w:t>
      </w:r>
      <w:r>
        <w:rPr>
          <w:rFonts w:ascii="Times New Roman" w:hAnsi="Times New Roman" w:eastAsia="Times New Roman" w:cs="Times New Roman"/>
          <w:color w:val="231F20"/>
          <w:spacing w:val="-2"/>
        </w:rPr>
        <w:t>22.2</w:t>
      </w:r>
      <w:r>
        <w:rPr>
          <w:color w:val="231F20"/>
          <w:spacing w:val="-2"/>
        </w:rPr>
        <w:t>万亿美元）之后。</w:t>
      </w:r>
    </w:p>
    <w:p>
      <w:pPr>
        <w:pStyle w:val="BodyText"/>
        <w:ind w:left="413"/>
        <w:spacing w:before="111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2"/>
        </w:rPr>
        <w:t>（五）应对气候相关金融风险</w:t>
      </w:r>
    </w:p>
    <w:p>
      <w:pPr>
        <w:pStyle w:val="BodyText"/>
        <w:ind w:firstLine="425"/>
        <w:spacing w:before="242" w:line="243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10"/>
        </w:rPr>
        <w:t>2024</w:t>
      </w:r>
      <w:r>
        <w:rPr>
          <w:color w:val="231F20"/>
          <w:spacing w:val="10"/>
        </w:rPr>
        <w:t>年，</w:t>
      </w:r>
      <w:r>
        <w:rPr>
          <w:color w:val="231F20"/>
          <w:spacing w:val="-4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10"/>
        </w:rPr>
        <w:t>有序推进《应对气候相关</w:t>
      </w:r>
      <w:r>
        <w:rPr>
          <w:color w:val="231F20"/>
        </w:rPr>
        <w:t xml:space="preserve"> </w:t>
      </w:r>
      <w:r>
        <w:rPr>
          <w:color w:val="231F20"/>
        </w:rPr>
        <w:t>金融风险路线图》实施。信息披露方面，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rFonts w:ascii="Times New Roman" w:hAnsi="Times New Roman" w:eastAsia="Times New Roman" w:cs="Times New Roman"/>
          <w:color w:val="231F20"/>
          <w:spacing w:val="7"/>
        </w:rPr>
        <w:t xml:space="preserve"> </w:t>
      </w:r>
      <w:r>
        <w:rPr>
          <w:color w:val="231F20"/>
          <w:spacing w:val="9"/>
        </w:rPr>
        <w:t>发布《实现一致和可比的气候相关信息披露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2"/>
        </w:rPr>
        <w:t>进展报告》，指出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12"/>
        </w:rPr>
        <w:t>成员经济体在适用国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7"/>
        </w:rPr>
        <w:t>际可持续准则理事会（</w:t>
      </w:r>
      <w:r>
        <w:rPr>
          <w:rFonts w:ascii="Times New Roman" w:hAnsi="Times New Roman" w:eastAsia="Times New Roman" w:cs="Times New Roman"/>
          <w:color w:val="231F20"/>
        </w:rPr>
        <w:t>ISSB</w:t>
      </w:r>
      <w:r>
        <w:rPr>
          <w:color w:val="231F20"/>
          <w:spacing w:val="7"/>
        </w:rPr>
        <w:t>）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7"/>
        </w:rPr>
        <w:t>信息披露标准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方面取得积极进展，包括逐步将企业气候相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关财务披露纳入监管框架、完善信息披露范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3"/>
        </w:rPr>
        <w:t>围、加强跨境合作及经验分享等。   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3"/>
        </w:rPr>
        <w:t>未来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9"/>
        </w:rPr>
        <w:t>工作将主要聚焦提高信息披露的质量和一致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性。数据方面，政府和私营部门正积极采取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措施，通过改进数据覆盖范围、颗粒度、可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获得性、可比性和可靠性等，全面提升数据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质量。脆弱性分析方面，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</w:rPr>
        <w:t>发布《气候相关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脆弱性评估报告》，构建气候风险脆弱性评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估框架并制定监测分析工具箱，开发各类指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标以评估气候风险向金融体系传导过程中造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成的影响。监管实践和工具方面，国际标准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制定机构通过在其现有风险分类和管理框架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中纳入气候相关风险的方式明确监管目标，</w:t>
      </w:r>
    </w:p>
    <w:p>
      <w:pPr>
        <w:spacing w:line="243" w:lineRule="auto"/>
        <w:sectPr>
          <w:type w:val="continuous"/>
          <w:pgSz w:w="11906" w:h="16158"/>
          <w:pgMar w:top="1384" w:right="1416" w:bottom="400" w:left="1703" w:header="1061" w:footer="0" w:gutter="0"/>
          <w:cols w:equalWidth="0" w:num="2">
            <w:col w:w="4522" w:space="100"/>
            <w:col w:w="4165" w:space="0"/>
          </w:cols>
        </w:sectPr>
        <w:rPr/>
      </w:pPr>
    </w:p>
    <w:p>
      <w:pPr>
        <w:spacing w:before="172"/>
        <w:rPr/>
      </w:pPr>
      <w:r/>
    </w:p>
    <w:p>
      <w:pPr>
        <w:sectPr>
          <w:headerReference w:type="default" r:id="rId238"/>
          <w:pgSz w:w="11906" w:h="16158"/>
          <w:pgMar w:top="1367" w:right="1698" w:bottom="400" w:left="1417" w:header="1044" w:footer="0" w:gutter="0"/>
          <w:cols w:equalWidth="0" w:num="1">
            <w:col w:w="8790" w:space="0"/>
          </w:cols>
        </w:sectPr>
        <w:rPr/>
      </w:pPr>
    </w:p>
    <w:p>
      <w:pPr>
        <w:pStyle w:val="BodyText"/>
        <w:ind w:left="4" w:right="356" w:firstLine="5"/>
        <w:spacing w:before="41" w:line="268" w:lineRule="auto"/>
        <w:rPr/>
      </w:pPr>
      <w:r>
        <w:rPr>
          <w:color w:val="231F20"/>
          <w:spacing w:val="8"/>
        </w:rPr>
        <w:t>制定指导意见，同时推动金融机构和非金融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-3"/>
        </w:rPr>
        <w:t>企业的转型计划制定工作。</w:t>
      </w:r>
    </w:p>
    <w:p>
      <w:pPr>
        <w:pStyle w:val="BodyText"/>
        <w:ind w:left="417"/>
        <w:spacing w:before="105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2"/>
        </w:rPr>
        <w:t>（六）完善加密资产国际监管框架</w:t>
      </w:r>
    </w:p>
    <w:p>
      <w:pPr>
        <w:pStyle w:val="BodyText"/>
        <w:ind w:left="4" w:right="356" w:firstLine="425"/>
        <w:spacing w:before="255" w:line="251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年，为提高加密资产监管的一致性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9"/>
        </w:rPr>
        <w:t>和有效性， 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9"/>
        </w:rPr>
        <w:t>持续推进成员经济体实施已 </w:t>
      </w:r>
      <w:r>
        <w:rPr>
          <w:color w:val="231F20"/>
          <w:spacing w:val="8"/>
        </w:rPr>
        <w:t>发布的两项加密资产监管建议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8"/>
          <w:position w:val="8"/>
        </w:rPr>
        <w:t>① </w:t>
      </w:r>
      <w:r>
        <w:rPr>
          <w:color w:val="231F20"/>
          <w:spacing w:val="8"/>
        </w:rPr>
        <w:t>,组织开展实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施情况的同行评估，通过问卷调查、圆桌会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议等形式，重点关注监管建议实施进展、数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据报告、跨境合作等方面情况。总体来看，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成员经济体在落实两项加密资产监管建议方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面持续取得进展，但推进步伐存在差异。此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外，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</w:rPr>
        <w:t>发布了关于新兴市场和发展中经济体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（</w:t>
      </w:r>
      <w:r>
        <w:rPr>
          <w:rFonts w:ascii="Times New Roman" w:hAnsi="Times New Roman" w:eastAsia="Times New Roman" w:cs="Times New Roman"/>
          <w:color w:val="231F20"/>
        </w:rPr>
        <w:t>EMDEs</w:t>
      </w:r>
      <w:r>
        <w:rPr>
          <w:color w:val="231F20"/>
          <w:spacing w:val="9"/>
        </w:rPr>
        <w:t>）的全球稳定币（</w:t>
      </w:r>
      <w:r>
        <w:rPr>
          <w:rFonts w:ascii="Times New Roman" w:hAnsi="Times New Roman" w:eastAsia="Times New Roman" w:cs="Times New Roman"/>
          <w:color w:val="231F20"/>
        </w:rPr>
        <w:t>GSC</w:t>
      </w:r>
      <w:r>
        <w:rPr>
          <w:color w:val="231F20"/>
          <w:spacing w:val="9"/>
        </w:rPr>
        <w:t>）跨境监管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7"/>
        </w:rPr>
        <w:t>情况报告，指出</w:t>
      </w:r>
      <w:r>
        <w:rPr>
          <w:rFonts w:ascii="Times New Roman" w:hAnsi="Times New Roman" w:eastAsia="Times New Roman" w:cs="Times New Roman"/>
          <w:color w:val="231F20"/>
        </w:rPr>
        <w:t>EMDEs</w:t>
      </w:r>
      <w:r>
        <w:rPr>
          <w:color w:val="231F20"/>
          <w:spacing w:val="7"/>
        </w:rPr>
        <w:t>因广泛使用与外币挂</w:t>
      </w:r>
      <w:r>
        <w:rPr>
          <w:color w:val="231F20"/>
          <w:spacing w:val="12"/>
          <w:w w:val="102"/>
        </w:rPr>
        <w:t xml:space="preserve"> </w:t>
      </w:r>
      <w:r>
        <w:rPr>
          <w:color w:val="231F20"/>
          <w:spacing w:val="9"/>
        </w:rPr>
        <w:t>钩的稳定币而面临更为突出的金融稳定风险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和监管挑战。比如在部分高通胀、币值不稳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定的</w:t>
      </w:r>
      <w:r>
        <w:rPr>
          <w:rFonts w:ascii="Times New Roman" w:hAnsi="Times New Roman" w:eastAsia="Times New Roman" w:cs="Times New Roman"/>
          <w:color w:val="231F20"/>
        </w:rPr>
        <w:t>EMDEs</w:t>
      </w:r>
      <w:r>
        <w:rPr>
          <w:color w:val="231F20"/>
          <w:spacing w:val="7"/>
        </w:rPr>
        <w:t>，稳定币作为避险工具被广泛使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用，削弱货币政策传导的有效性，对本国货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币主权造成威胁，在实施全球监管标准的同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时，还要采取差异化措施以有效应对。</w:t>
      </w:r>
    </w:p>
    <w:p>
      <w:pPr>
        <w:pStyle w:val="BodyText"/>
        <w:ind w:left="417"/>
        <w:spacing w:before="115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5"/>
        </w:rPr>
        <w:t>（七）其他</w:t>
      </w:r>
    </w:p>
    <w:p>
      <w:pPr>
        <w:pStyle w:val="BodyText"/>
        <w:ind w:left="5" w:right="356" w:firstLine="425"/>
        <w:spacing w:before="249" w:line="249" w:lineRule="auto"/>
        <w:jc w:val="both"/>
        <w:rPr/>
      </w:pPr>
      <w:r>
        <w:pict>
          <v:shape id="_x0000_s168" style="position:absolute;margin-left:0.250198pt;margin-top:98.1494pt;mso-position-vertical-relative:text;mso-position-horizontal-relative:text;width:90.75pt;height:0.5pt;z-index:252296192;" filled="false" strokecolor="#231F20" strokeweight="0.50pt" coordsize="1815,10" coordorigin="0,0" path="m0,5l1814,5e">
            <v:stroke joinstyle="miter" miterlimit="10"/>
          </v:shape>
        </w:pict>
      </w:r>
      <w:r>
        <w:rPr>
          <w:color w:val="231F20"/>
          <w:spacing w:val="9"/>
        </w:rPr>
        <w:t>一是在宏观审慎政策框架中逐步引入正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中性逆周期资本缓冲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5"/>
          <w:position w:val="8"/>
        </w:rPr>
        <w:t>②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-1"/>
          <w:position w:val="8"/>
        </w:rPr>
        <w:t xml:space="preserve"> </w:t>
      </w:r>
      <w:r>
        <w:rPr>
          <w:color w:val="231F20"/>
          <w:spacing w:val="5"/>
        </w:rPr>
        <w:t>。</w:t>
      </w: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年，</w:t>
      </w:r>
      <w:r>
        <w:rPr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BCBS</w:t>
      </w:r>
      <w:r>
        <w:rPr>
          <w:color w:val="231F20"/>
          <w:spacing w:val="5"/>
        </w:rPr>
        <w:t>发布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报告《实施正中性逆周期资本缓冲的系列经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验》，介绍了各经济体推行正中性逆周期资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" w:right="1"/>
        <w:spacing w:before="43" w:line="249" w:lineRule="auto"/>
        <w:jc w:val="both"/>
        <w:rPr/>
      </w:pPr>
      <w:r>
        <w:rPr>
          <w:color w:val="231F20"/>
          <w:spacing w:val="8"/>
        </w:rPr>
        <w:t>本缓冲的做法和经验，提出该措施提高了整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7"/>
        </w:rPr>
        <w:t>个金融周期内资本缓冲的可用空间。目前，</w:t>
      </w:r>
      <w:r>
        <w:rPr>
          <w:color w:val="231F20"/>
        </w:rPr>
        <w:t xml:space="preserve">  </w:t>
      </w:r>
      <w:r>
        <w:rPr>
          <w:color w:val="231F20"/>
          <w:spacing w:val="10"/>
        </w:rPr>
        <w:t>欧洲经济区（</w:t>
      </w:r>
      <w:r>
        <w:rPr>
          <w:rFonts w:ascii="Times New Roman" w:hAnsi="Times New Roman" w:eastAsia="Times New Roman" w:cs="Times New Roman"/>
          <w:color w:val="231F20"/>
        </w:rPr>
        <w:t>EEA</w:t>
      </w:r>
      <w:r>
        <w:rPr>
          <w:color w:val="231F20"/>
          <w:spacing w:val="10"/>
        </w:rPr>
        <w:t>）的</w:t>
      </w:r>
      <w:r>
        <w:rPr>
          <w:rFonts w:ascii="Times New Roman" w:hAnsi="Times New Roman" w:eastAsia="Times New Roman" w:cs="Times New Roman"/>
          <w:color w:val="231F20"/>
          <w:spacing w:val="10"/>
        </w:rPr>
        <w:t>17</w:t>
      </w:r>
      <w:r>
        <w:rPr>
          <w:color w:val="231F20"/>
          <w:spacing w:val="10"/>
        </w:rPr>
        <w:t>个经济体，以及英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国、澳大利亚和中国香港均已实施了正中性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资本缓冲。</w:t>
      </w:r>
    </w:p>
    <w:p>
      <w:pPr>
        <w:pStyle w:val="BodyText"/>
        <w:ind w:right="1" w:firstLine="427"/>
        <w:spacing w:before="4" w:line="249" w:lineRule="auto"/>
        <w:jc w:val="both"/>
        <w:rPr/>
      </w:pPr>
      <w:r>
        <w:rPr>
          <w:color w:val="231F20"/>
          <w:spacing w:val="14"/>
        </w:rPr>
        <w:t>二是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14"/>
        </w:rPr>
        <w:t>发布《关于对银行及非银行支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付服务提供商提供跨境支付服务的监管建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议》，要求跨境支付服务监管部门及时开展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风险评估，确保现有监管制度覆盖关键风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险，并充分保障消费者权益，推动实现一致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监管，营造公平的竞争环境。</w:t>
      </w:r>
    </w:p>
    <w:p>
      <w:pPr>
        <w:pStyle w:val="BodyText"/>
        <w:ind w:right="1" w:firstLine="428"/>
        <w:spacing w:before="4" w:line="249" w:lineRule="auto"/>
        <w:jc w:val="both"/>
        <w:rPr/>
      </w:pPr>
      <w:r>
        <w:rPr>
          <w:color w:val="231F20"/>
          <w:spacing w:val="9"/>
        </w:rPr>
        <w:t>三是加强流动性风险管理。针对证券及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衍生品市场，为减少市场压力时期的顺周期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行为，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</w:rPr>
        <w:t>建议市场参与者将保证金和抵押品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追缴要求纳入整体风险管理框架；开展流动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性压力测试，确保流动性来源可靠；做好抵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押品管理，保持充足的流动性资产储备。</w:t>
      </w:r>
    </w:p>
    <w:p>
      <w:pPr>
        <w:pStyle w:val="BodyText"/>
        <w:ind w:right="1" w:firstLine="446"/>
        <w:spacing w:before="7" w:line="249" w:lineRule="auto"/>
        <w:rPr/>
      </w:pPr>
      <w:r>
        <w:rPr>
          <w:color w:val="231F20"/>
          <w:spacing w:val="6"/>
        </w:rPr>
        <w:t>四是评估人工智能对金融稳定的影响。  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12"/>
        </w:rPr>
        <w:t>发布《人工智能对金融稳定的影响》指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9"/>
        </w:rPr>
        <w:t>出，人工智能可能通过多种途径加剧系统性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风险，包括对第三方服务提供商的依赖、与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金融市场的关联性、网络安全风险、数据管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理缺陷等。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</w:rPr>
        <w:t>呼吁各国监管部门加强对人工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智能技术发展的持续监测，并通过人工智能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工具赋能等方式加强监管能力建设。</w:t>
      </w:r>
    </w:p>
    <w:p>
      <w:pPr>
        <w:pStyle w:val="BodyText"/>
        <w:ind w:right="3"/>
        <w:spacing w:line="180" w:lineRule="auto"/>
        <w:jc w:val="right"/>
        <w:rPr/>
      </w:pPr>
      <w:r>
        <w:rPr>
          <w:color w:val="231F20"/>
          <w:spacing w:val="2"/>
        </w:rPr>
        <w:t>五是继续推动全球法人识别编码（</w:t>
      </w:r>
      <w:r>
        <w:rPr>
          <w:rFonts w:ascii="Times New Roman" w:hAnsi="Times New Roman" w:eastAsia="Times New Roman" w:cs="Times New Roman"/>
          <w:color w:val="231F20"/>
        </w:rPr>
        <w:t>LEI</w:t>
      </w:r>
      <w:r>
        <w:rPr>
          <w:color w:val="231F20"/>
          <w:spacing w:val="2"/>
        </w:rPr>
        <w:t>）</w:t>
      </w:r>
    </w:p>
    <w:p>
      <w:pPr>
        <w:spacing w:line="180" w:lineRule="auto"/>
        <w:sectPr>
          <w:type w:val="continuous"/>
          <w:pgSz w:w="11906" w:h="16158"/>
          <w:pgMar w:top="1367" w:right="1698" w:bottom="400" w:left="1417" w:header="1044" w:footer="0" w:gutter="0"/>
          <w:cols w:equalWidth="0" w:num="2">
            <w:col w:w="4524" w:space="100"/>
            <w:col w:w="4166" w:space="0"/>
          </w:cols>
        </w:sectPr>
        <w:rPr/>
      </w:pPr>
    </w:p>
    <w:p>
      <w:pPr>
        <w:pStyle w:val="BodyText"/>
        <w:ind w:left="1" w:firstLine="340"/>
        <w:spacing w:before="170" w:line="184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4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9"/>
          <w:w w:val="101"/>
        </w:rPr>
        <w:t xml:space="preserve"> </w:t>
      </w:r>
      <w:r>
        <w:rPr>
          <w:sz w:val="16"/>
          <w:szCs w:val="16"/>
          <w:color w:val="231F20"/>
          <w:spacing w:val="4"/>
        </w:rPr>
        <w:t>分别为《加密资产业务和市场的监测、监督和</w:t>
      </w:r>
      <w:r>
        <w:rPr>
          <w:sz w:val="16"/>
          <w:szCs w:val="16"/>
          <w:color w:val="231F20"/>
          <w:spacing w:val="3"/>
        </w:rPr>
        <w:t>监管的高级别建议》（</w:t>
      </w:r>
      <w:r>
        <w:rPr>
          <w:sz w:val="16"/>
          <w:szCs w:val="16"/>
          <w:color w:val="231F20"/>
        </w:rPr>
        <w:t>CA</w:t>
      </w:r>
      <w:r>
        <w:rPr>
          <w:sz w:val="16"/>
          <w:szCs w:val="16"/>
          <w:color w:val="231F20"/>
          <w:spacing w:val="3"/>
        </w:rPr>
        <w:t>建议）和《关于“全球稳定币”监管的高级</w:t>
      </w:r>
      <w:r>
        <w:rPr>
          <w:sz w:val="16"/>
          <w:szCs w:val="16"/>
          <w:color w:val="231F20"/>
        </w:rPr>
        <w:t xml:space="preserve"> </w:t>
      </w:r>
      <w:r>
        <w:rPr>
          <w:sz w:val="16"/>
          <w:szCs w:val="16"/>
          <w:color w:val="231F20"/>
        </w:rPr>
        <w:t>别建议》（GSC建议），总体原则为“相同业务、相同风险、相同监管”、灵活性、技术中立，旨在提升加密资产行业监</w:t>
      </w:r>
      <w:r>
        <w:rPr>
          <w:sz w:val="16"/>
          <w:szCs w:val="16"/>
          <w:color w:val="231F20"/>
          <w:spacing w:val="-1"/>
        </w:rPr>
        <w:t>管方</w:t>
      </w:r>
      <w:r>
        <w:rPr>
          <w:sz w:val="16"/>
          <w:szCs w:val="16"/>
          <w:color w:val="231F20"/>
        </w:rPr>
        <w:t xml:space="preserve"> </w:t>
      </w:r>
      <w:r>
        <w:rPr>
          <w:sz w:val="16"/>
          <w:szCs w:val="16"/>
          <w:color w:val="231F20"/>
          <w:spacing w:val="-1"/>
        </w:rPr>
        <w:t>法的全球一致性，减少监管漏洞，防范监管套利，有效防范金融风险。</w:t>
      </w:r>
    </w:p>
    <w:p>
      <w:pPr>
        <w:pStyle w:val="BodyText"/>
        <w:ind w:left="4" w:right="3" w:firstLine="338"/>
        <w:spacing w:before="12" w:line="199" w:lineRule="exact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1"/>
          <w:position w:val="2"/>
        </w:rPr>
        <w:t>②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52"/>
          <w:position w:val="2"/>
        </w:rPr>
        <w:t xml:space="preserve"> </w:t>
      </w:r>
      <w:r>
        <w:rPr>
          <w:sz w:val="16"/>
          <w:szCs w:val="16"/>
          <w:color w:val="231F20"/>
          <w:spacing w:val="1"/>
          <w:position w:val="2"/>
        </w:rPr>
        <w:t>正中性逆周期资本缓冲（</w:t>
      </w:r>
      <w:r>
        <w:rPr>
          <w:sz w:val="16"/>
          <w:szCs w:val="16"/>
          <w:color w:val="231F20"/>
          <w:position w:val="2"/>
        </w:rPr>
        <w:t>Positive</w:t>
      </w:r>
      <w:r>
        <w:rPr>
          <w:sz w:val="16"/>
          <w:szCs w:val="16"/>
          <w:color w:val="231F20"/>
          <w:spacing w:val="33"/>
          <w:w w:val="101"/>
          <w:position w:val="2"/>
        </w:rPr>
        <w:t xml:space="preserve"> </w:t>
      </w:r>
      <w:r>
        <w:rPr>
          <w:sz w:val="16"/>
          <w:szCs w:val="16"/>
          <w:color w:val="231F20"/>
          <w:position w:val="2"/>
        </w:rPr>
        <w:t>Neutral</w:t>
      </w:r>
      <w:r>
        <w:rPr>
          <w:sz w:val="16"/>
          <w:szCs w:val="16"/>
          <w:color w:val="231F20"/>
          <w:spacing w:val="34"/>
          <w:w w:val="101"/>
          <w:position w:val="2"/>
        </w:rPr>
        <w:t xml:space="preserve"> </w:t>
      </w:r>
      <w:r>
        <w:rPr>
          <w:sz w:val="16"/>
          <w:szCs w:val="16"/>
          <w:color w:val="231F20"/>
          <w:position w:val="2"/>
        </w:rPr>
        <w:t>CCyB</w:t>
      </w:r>
      <w:r>
        <w:rPr>
          <w:sz w:val="16"/>
          <w:szCs w:val="16"/>
          <w:color w:val="231F20"/>
          <w:spacing w:val="1"/>
          <w:position w:val="2"/>
        </w:rPr>
        <w:t>）是指当周期性、系统性风险处于中性水平时，提前将</w:t>
      </w:r>
      <w:r>
        <w:rPr>
          <w:sz w:val="16"/>
          <w:szCs w:val="16"/>
          <w:color w:val="231F20"/>
          <w:position w:val="2"/>
        </w:rPr>
        <w:t>CCyB</w:t>
      </w:r>
      <w:r>
        <w:rPr>
          <w:sz w:val="16"/>
          <w:szCs w:val="16"/>
          <w:color w:val="231F20"/>
          <w:spacing w:val="1"/>
          <w:position w:val="2"/>
        </w:rPr>
        <w:t>调整为</w:t>
      </w:r>
      <w:r>
        <w:rPr>
          <w:sz w:val="16"/>
          <w:szCs w:val="16"/>
          <w:color w:val="231F20"/>
          <w:position w:val="2"/>
        </w:rPr>
        <w:t xml:space="preserve"> </w:t>
      </w:r>
      <w:r>
        <w:rPr>
          <w:sz w:val="16"/>
          <w:szCs w:val="16"/>
          <w:color w:val="231F20"/>
          <w:spacing w:val="-5"/>
          <w:position w:val="-2"/>
        </w:rPr>
        <w:t>正值。</w:t>
      </w:r>
    </w:p>
    <w:p>
      <w:pPr>
        <w:spacing w:line="199" w:lineRule="exact"/>
        <w:sectPr>
          <w:type w:val="continuous"/>
          <w:pgSz w:w="11906" w:h="16158"/>
          <w:pgMar w:top="1367" w:right="1698" w:bottom="400" w:left="1417" w:header="1044" w:footer="0" w:gutter="0"/>
          <w:cols w:equalWidth="0" w:num="1">
            <w:col w:w="8790" w:space="0"/>
          </w:cols>
        </w:sectPr>
        <w:rPr>
          <w:sz w:val="16"/>
          <w:szCs w:val="16"/>
        </w:rPr>
      </w:pPr>
    </w:p>
    <w:p>
      <w:pPr>
        <w:spacing w:before="155"/>
        <w:rPr/>
      </w:pPr>
      <w:r/>
    </w:p>
    <w:p>
      <w:pPr>
        <w:sectPr>
          <w:headerReference w:type="default" r:id="rId239"/>
          <w:pgSz w:w="11906" w:h="16158"/>
          <w:pgMar w:top="1384" w:right="1416" w:bottom="400" w:left="1703" w:header="1061" w:footer="0" w:gutter="0"/>
          <w:cols w:equalWidth="0" w:num="1">
            <w:col w:w="8786" w:space="0"/>
          </w:cols>
        </w:sectPr>
        <w:rPr/>
      </w:pPr>
    </w:p>
    <w:p>
      <w:pPr>
        <w:pStyle w:val="BodyText"/>
        <w:ind w:left="3" w:right="357" w:firstLine="2"/>
        <w:spacing w:before="38" w:line="256" w:lineRule="auto"/>
        <w:rPr/>
      </w:pPr>
      <w:r>
        <w:rPr>
          <w:color w:val="231F20"/>
        </w:rPr>
        <w:t>应用。为实现</w:t>
      </w:r>
      <w:r>
        <w:rPr>
          <w:rFonts w:ascii="Times New Roman" w:hAnsi="Times New Roman" w:eastAsia="Times New Roman" w:cs="Times New Roman"/>
          <w:color w:val="231F20"/>
        </w:rPr>
        <w:t>G20</w:t>
      </w:r>
      <w:r>
        <w:rPr>
          <w:color w:val="231F20"/>
        </w:rPr>
        <w:t>《关于加强跨境支付的路线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图》提出的“使跨境支付更快捷、更便宜、</w:t>
      </w:r>
      <w:r>
        <w:rPr>
          <w:color w:val="231F20"/>
        </w:rPr>
        <w:t xml:space="preserve">  </w:t>
      </w:r>
      <w:r>
        <w:rPr>
          <w:color w:val="231F20"/>
          <w:spacing w:val="3"/>
        </w:rPr>
        <w:t>更透明、更包容”的目标， </w:t>
      </w:r>
      <w:r>
        <w:rPr>
          <w:rFonts w:ascii="Times New Roman" w:hAnsi="Times New Roman" w:eastAsia="Times New Roman" w:cs="Times New Roman"/>
          <w:color w:val="231F20"/>
        </w:rPr>
        <w:t>FSB</w:t>
      </w:r>
      <w:r>
        <w:rPr>
          <w:color w:val="231F20"/>
          <w:spacing w:val="3"/>
        </w:rPr>
        <w:t>积极推动</w:t>
      </w:r>
      <w:r>
        <w:rPr>
          <w:rFonts w:ascii="Times New Roman" w:hAnsi="Times New Roman" w:eastAsia="Times New Roman" w:cs="Times New Roman"/>
          <w:color w:val="231F20"/>
        </w:rPr>
        <w:t>LEI </w:t>
      </w:r>
      <w:r>
        <w:rPr>
          <w:color w:val="231F20"/>
          <w:spacing w:val="8"/>
        </w:rPr>
        <w:t>编码在跨境支付中的广泛应用。截至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末，共有</w:t>
      </w:r>
      <w:r>
        <w:rPr>
          <w:rFonts w:ascii="Times New Roman" w:hAnsi="Times New Roman" w:eastAsia="Times New Roman" w:cs="Times New Roman"/>
          <w:color w:val="231F20"/>
          <w:spacing w:val="3"/>
        </w:rPr>
        <w:t>38</w:t>
      </w:r>
      <w:r>
        <w:rPr>
          <w:color w:val="231F20"/>
          <w:spacing w:val="3"/>
        </w:rPr>
        <w:t>个经济体取得发码资格，超过</w:t>
      </w:r>
      <w:r>
        <w:rPr>
          <w:rFonts w:ascii="Times New Roman" w:hAnsi="Times New Roman" w:eastAsia="Times New Roman" w:cs="Times New Roman"/>
          <w:color w:val="231F20"/>
          <w:spacing w:val="2"/>
        </w:rPr>
        <w:t>280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-2"/>
        </w:rPr>
        <w:t>万个法人申请获得</w:t>
      </w:r>
      <w:r>
        <w:rPr>
          <w:rFonts w:ascii="Times New Roman" w:hAnsi="Times New Roman" w:eastAsia="Times New Roman" w:cs="Times New Roman"/>
          <w:color w:val="231F20"/>
          <w:spacing w:val="-2"/>
        </w:rPr>
        <w:t>LEI</w:t>
      </w:r>
      <w:r>
        <w:rPr>
          <w:color w:val="231F20"/>
          <w:spacing w:val="-2"/>
        </w:rPr>
        <w:t>编码。</w:t>
      </w:r>
    </w:p>
    <w:p>
      <w:pPr>
        <w:pStyle w:val="BodyText"/>
        <w:ind w:left="478"/>
        <w:spacing w:before="398" w:line="174" w:lineRule="auto"/>
        <w:outlineLvl w:val="0"/>
        <w:rPr>
          <w:sz w:val="28"/>
          <w:szCs w:val="28"/>
        </w:rPr>
      </w:pPr>
      <w:bookmarkStart w:name="bookmark15" w:id="48"/>
      <w:bookmarkEnd w:id="48"/>
      <w:r>
        <w:rPr>
          <w:sz w:val="28"/>
          <w:szCs w:val="28"/>
          <w:color w:val="174B8B"/>
          <w:spacing w:val="-2"/>
        </w:rPr>
        <w:t>二、主要经济体实践</w:t>
      </w:r>
    </w:p>
    <w:p>
      <w:pPr>
        <w:pStyle w:val="BodyText"/>
        <w:ind w:left="415"/>
        <w:spacing w:before="427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7"/>
        </w:rPr>
        <w:t>（一）美国</w:t>
      </w:r>
    </w:p>
    <w:p>
      <w:pPr>
        <w:pStyle w:val="BodyText"/>
        <w:ind w:left="1" w:right="355" w:firstLine="437"/>
        <w:spacing w:before="257" w:line="249" w:lineRule="auto"/>
        <w:jc w:val="both"/>
        <w:rPr/>
      </w:pPr>
      <w:r>
        <w:rPr>
          <w:color w:val="231F20"/>
          <w:spacing w:val="1"/>
        </w:rPr>
        <w:t>系统性风险监测和评估。</w:t>
      </w:r>
      <w:r>
        <w:rPr>
          <w:color w:val="231F20"/>
          <w:spacing w:val="-1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2025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4</w:t>
      </w:r>
      <w:r>
        <w:rPr>
          <w:color w:val="231F20"/>
          <w:spacing w:val="1"/>
        </w:rPr>
        <w:t>月，美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联储发布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年《金融稳定报告》，评估美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国金融稳定形势及脆弱性。资产估值方面，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美国股市和房地产市场的估值依然偏高，特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别是当前利率环境下商业房地产贷款人仍面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临较大的再融资风险，可能因难以偿还贷款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而抛售房产，进而引发资产价格下跌。债务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水平方面，企业和家庭部门资产负债状况整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体稳定，但应关注高风险企业客户的贷款违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约风险，以及信用卡、汽车贷款违约率上升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等情况。金融业方面，银行业资本总额持续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增加，整体资本充足水平达历史新高，流动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性保持充裕；保险业杠杆水平分化，寿险公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司杠杆率在下半年保持高位，而财产险公司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杠杆率则接近历史低位；大型对冲基金杠杆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率持续提升，推动行业整体杠杆率在第三季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度达到历史峰值。</w:t>
      </w:r>
    </w:p>
    <w:p>
      <w:pPr>
        <w:pStyle w:val="BodyText"/>
        <w:ind w:left="3" w:right="356" w:firstLine="432"/>
        <w:spacing w:before="1" w:line="208" w:lineRule="auto"/>
        <w:jc w:val="both"/>
        <w:rPr/>
      </w:pPr>
      <w:r>
        <w:rPr>
          <w:color w:val="231F20"/>
          <w:spacing w:val="8"/>
        </w:rPr>
        <w:t>开展压力测试。</w:t>
      </w:r>
      <w:r>
        <w:rPr>
          <w:color w:val="231F20"/>
          <w:spacing w:val="7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</w:t>
      </w:r>
      <w:r>
        <w:rPr>
          <w:rFonts w:ascii="Times New Roman" w:hAnsi="Times New Roman" w:eastAsia="Times New Roman" w:cs="Times New Roman"/>
          <w:color w:val="231F20"/>
          <w:spacing w:val="8"/>
        </w:rPr>
        <w:t>6</w:t>
      </w:r>
      <w:r>
        <w:rPr>
          <w:color w:val="231F20"/>
          <w:spacing w:val="8"/>
        </w:rPr>
        <w:t>月，美联储公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8"/>
        </w:rPr>
        <w:t>布了</w:t>
      </w:r>
      <w:r>
        <w:rPr>
          <w:rFonts w:ascii="Times New Roman" w:hAnsi="Times New Roman" w:eastAsia="Times New Roman" w:cs="Times New Roman"/>
          <w:color w:val="231F20"/>
          <w:spacing w:val="8"/>
        </w:rPr>
        <w:t>31</w:t>
      </w:r>
      <w:r>
        <w:rPr>
          <w:color w:val="231F20"/>
          <w:spacing w:val="8"/>
        </w:rPr>
        <w:t>家大型银行压力测试结果。参试银行 </w:t>
      </w:r>
      <w:r>
        <w:rPr>
          <w:color w:val="231F20"/>
          <w:spacing w:val="21"/>
        </w:rPr>
        <w:t>均通过压力测试，具备充足的损失吸收能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" w:firstLine="1"/>
        <w:spacing w:before="45" w:line="249" w:lineRule="auto"/>
        <w:rPr/>
      </w:pPr>
      <w:r>
        <w:rPr>
          <w:color w:val="231F20"/>
          <w:spacing w:val="9"/>
        </w:rPr>
        <w:t>力。其中，重度压力情景假设：美国住宅和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>商业地产价格分别下跌</w:t>
      </w:r>
      <w:r>
        <w:rPr>
          <w:rFonts w:ascii="Times New Roman" w:hAnsi="Times New Roman" w:eastAsia="Times New Roman" w:cs="Times New Roman"/>
          <w:color w:val="231F20"/>
          <w:spacing w:val="11"/>
        </w:rPr>
        <w:t>36%</w:t>
      </w:r>
      <w:r>
        <w:rPr>
          <w:color w:val="231F20"/>
          <w:spacing w:val="11"/>
        </w:rPr>
        <w:t>和</w:t>
      </w:r>
      <w:r>
        <w:rPr>
          <w:rFonts w:ascii="Times New Roman" w:hAnsi="Times New Roman" w:eastAsia="Times New Roman" w:cs="Times New Roman"/>
          <w:color w:val="231F20"/>
          <w:spacing w:val="11"/>
        </w:rPr>
        <w:t>40%</w:t>
      </w:r>
      <w:r>
        <w:rPr>
          <w:color w:val="231F20"/>
          <w:spacing w:val="11"/>
        </w:rPr>
        <w:t>、股市价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8"/>
        </w:rPr>
        <w:t>格下跌</w:t>
      </w:r>
      <w:r>
        <w:rPr>
          <w:rFonts w:ascii="Times New Roman" w:hAnsi="Times New Roman" w:eastAsia="Times New Roman" w:cs="Times New Roman"/>
          <w:color w:val="231F20"/>
          <w:spacing w:val="8"/>
        </w:rPr>
        <w:t>55%</w:t>
      </w:r>
      <w:r>
        <w:rPr>
          <w:color w:val="231F20"/>
          <w:spacing w:val="8"/>
        </w:rPr>
        <w:t>、实际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8"/>
        </w:rPr>
        <w:t>下降</w:t>
      </w:r>
      <w:r>
        <w:rPr>
          <w:rFonts w:ascii="Times New Roman" w:hAnsi="Times New Roman" w:eastAsia="Times New Roman" w:cs="Times New Roman"/>
          <w:color w:val="231F20"/>
          <w:spacing w:val="8"/>
        </w:rPr>
        <w:t>8.5%</w:t>
      </w:r>
      <w:r>
        <w:rPr>
          <w:color w:val="231F20"/>
          <w:spacing w:val="8"/>
        </w:rPr>
        <w:t>、失业率升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8"/>
        </w:rPr>
        <w:t>至</w:t>
      </w:r>
      <w:r>
        <w:rPr>
          <w:rFonts w:ascii="Times New Roman" w:hAnsi="Times New Roman" w:eastAsia="Times New Roman" w:cs="Times New Roman"/>
          <w:color w:val="231F20"/>
          <w:spacing w:val="8"/>
        </w:rPr>
        <w:t>10%</w:t>
      </w:r>
      <w:r>
        <w:rPr>
          <w:color w:val="231F20"/>
          <w:spacing w:val="8"/>
        </w:rPr>
        <w:t>等。在此情景下，参试银行在贷款、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8"/>
        </w:rPr>
        <w:t>投资证券等方面遭受</w:t>
      </w:r>
      <w:r>
        <w:rPr>
          <w:rFonts w:ascii="Times New Roman" w:hAnsi="Times New Roman" w:eastAsia="Times New Roman" w:cs="Times New Roman"/>
          <w:color w:val="231F20"/>
          <w:spacing w:val="8"/>
        </w:rPr>
        <w:t>6840</w:t>
      </w:r>
      <w:r>
        <w:rPr>
          <w:color w:val="231F20"/>
          <w:spacing w:val="8"/>
        </w:rPr>
        <w:t>亿美元总损失，整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1"/>
        </w:rPr>
        <w:t>体核心一级资本充足率由</w:t>
      </w:r>
      <w:r>
        <w:rPr>
          <w:rFonts w:ascii="Times New Roman" w:hAnsi="Times New Roman" w:eastAsia="Times New Roman" w:cs="Times New Roman"/>
          <w:color w:val="231F20"/>
          <w:spacing w:val="11"/>
        </w:rPr>
        <w:t>2023</w:t>
      </w:r>
      <w:r>
        <w:rPr>
          <w:color w:val="231F20"/>
          <w:spacing w:val="11"/>
        </w:rPr>
        <w:t>年末的</w:t>
      </w:r>
      <w:r>
        <w:rPr>
          <w:rFonts w:ascii="Times New Roman" w:hAnsi="Times New Roman" w:eastAsia="Times New Roman" w:cs="Times New Roman"/>
          <w:color w:val="231F20"/>
          <w:spacing w:val="11"/>
        </w:rPr>
        <w:t>12.7%</w:t>
      </w:r>
      <w:r>
        <w:rPr>
          <w:rFonts w:ascii="Times New Roman" w:hAnsi="Times New Roman" w:eastAsia="Times New Roman" w:cs="Times New Roman"/>
          <w:color w:val="231F20"/>
          <w:spacing w:val="4"/>
        </w:rPr>
        <w:t xml:space="preserve"> </w:t>
      </w:r>
      <w:r>
        <w:rPr>
          <w:color w:val="231F20"/>
          <w:spacing w:val="15"/>
        </w:rPr>
        <w:t>降至</w:t>
      </w:r>
      <w:r>
        <w:rPr>
          <w:rFonts w:ascii="Times New Roman" w:hAnsi="Times New Roman" w:eastAsia="Times New Roman" w:cs="Times New Roman"/>
          <w:color w:val="231F20"/>
          <w:spacing w:val="15"/>
        </w:rPr>
        <w:t>9.9%</w:t>
      </w:r>
      <w:r>
        <w:rPr>
          <w:color w:val="231F20"/>
          <w:spacing w:val="15"/>
        </w:rPr>
        <w:t>，但仍远高于</w:t>
      </w:r>
      <w:r>
        <w:rPr>
          <w:rFonts w:ascii="Times New Roman" w:hAnsi="Times New Roman" w:eastAsia="Times New Roman" w:cs="Times New Roman"/>
          <w:color w:val="231F20"/>
          <w:spacing w:val="15"/>
        </w:rPr>
        <w:t>4.5%</w:t>
      </w:r>
      <w:r>
        <w:rPr>
          <w:color w:val="231F20"/>
          <w:spacing w:val="15"/>
        </w:rPr>
        <w:t>的最低资本监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9"/>
        </w:rPr>
        <w:t>管要求。根据压力测试结果，美联储对参试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0"/>
        </w:rPr>
        <w:t>银行设定了差异化的压力资本缓冲（</w:t>
      </w:r>
      <w:r>
        <w:rPr>
          <w:rFonts w:ascii="Times New Roman" w:hAnsi="Times New Roman" w:eastAsia="Times New Roman" w:cs="Times New Roman"/>
          <w:color w:val="231F20"/>
        </w:rPr>
        <w:t>SCB</w:t>
      </w:r>
      <w:r>
        <w:rPr>
          <w:color w:val="231F20"/>
          <w:spacing w:val="10"/>
        </w:rPr>
        <w:t>）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8"/>
        </w:rPr>
        <w:t>要求。</w:t>
      </w:r>
    </w:p>
    <w:p>
      <w:pPr>
        <w:pStyle w:val="BodyText"/>
        <w:ind w:firstLine="430"/>
        <w:spacing w:before="33" w:line="248" w:lineRule="auto"/>
        <w:jc w:val="both"/>
        <w:rPr/>
      </w:pPr>
      <w:r>
        <w:rPr>
          <w:color w:val="231F20"/>
          <w:spacing w:val="4"/>
        </w:rPr>
        <w:t>完善金融监管体系。</w:t>
      </w:r>
      <w:r>
        <w:rPr>
          <w:color w:val="231F20"/>
        </w:rPr>
        <w:t xml:space="preserve">  </w:t>
      </w:r>
      <w:r>
        <w:rPr>
          <w:color w:val="231F20"/>
          <w:spacing w:val="4"/>
        </w:rPr>
        <w:t>一是强化大型银行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恢复和处置计划相关要求。美国联邦存款保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6"/>
        </w:rPr>
        <w:t>险公司（</w:t>
      </w:r>
      <w:r>
        <w:rPr>
          <w:rFonts w:ascii="Times New Roman" w:hAnsi="Times New Roman" w:eastAsia="Times New Roman" w:cs="Times New Roman"/>
          <w:color w:val="231F20"/>
        </w:rPr>
        <w:t>FDIC</w:t>
      </w:r>
      <w:r>
        <w:rPr>
          <w:color w:val="231F20"/>
          <w:spacing w:val="6"/>
        </w:rPr>
        <w:t>）、美联储、美国货币监理署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8"/>
        </w:rPr>
        <w:t>（</w:t>
      </w:r>
      <w:r>
        <w:rPr>
          <w:rFonts w:ascii="Times New Roman" w:hAnsi="Times New Roman" w:eastAsia="Times New Roman" w:cs="Times New Roman"/>
          <w:color w:val="231F20"/>
        </w:rPr>
        <w:t>OCC</w:t>
      </w:r>
      <w:r>
        <w:rPr>
          <w:color w:val="231F20"/>
          <w:spacing w:val="8"/>
        </w:rPr>
        <w:t>）总结吸取</w:t>
      </w:r>
      <w:r>
        <w:rPr>
          <w:rFonts w:ascii="Times New Roman" w:hAnsi="Times New Roman" w:eastAsia="Times New Roman" w:cs="Times New Roman"/>
          <w:color w:val="231F20"/>
          <w:spacing w:val="8"/>
        </w:rPr>
        <w:t>2023</w:t>
      </w:r>
      <w:r>
        <w:rPr>
          <w:color w:val="231F20"/>
          <w:spacing w:val="8"/>
        </w:rPr>
        <w:t>年美欧银行业风险事 </w:t>
      </w:r>
      <w:r>
        <w:rPr>
          <w:color w:val="231F20"/>
          <w:spacing w:val="9"/>
        </w:rPr>
        <w:t>件经验教训，对大型银行恢复和处置计划有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关规定作出修订，要求不同资产规模的大型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银行，差异化制定恢复和处置计划，以确保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其在面临重大风险或濒临倒闭时，监管机构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能够快速介入并有序处置。二是加强对大型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8"/>
        </w:rPr>
        <w:t>非银机构的监管。  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</w:t>
      </w:r>
      <w:r>
        <w:rPr>
          <w:rFonts w:ascii="Times New Roman" w:hAnsi="Times New Roman" w:eastAsia="Times New Roman" w:cs="Times New Roman"/>
          <w:color w:val="231F20"/>
          <w:spacing w:val="8"/>
        </w:rPr>
        <w:t>3</w:t>
      </w:r>
      <w:r>
        <w:rPr>
          <w:color w:val="231F20"/>
          <w:spacing w:val="8"/>
        </w:rPr>
        <w:t>月，美联储修订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金融基础设施监管规定，要求系统重要性金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融基础设施加强运营风险管理、保障业务连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续性、控制外包服务风险以及定期开展运营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稳健性评估测试。  </w:t>
      </w:r>
      <w:r>
        <w:rPr>
          <w:rFonts w:ascii="Times New Roman" w:hAnsi="Times New Roman" w:eastAsia="Times New Roman" w:cs="Times New Roman"/>
          <w:color w:val="231F20"/>
          <w:spacing w:val="3"/>
        </w:rPr>
        <w:t>11</w:t>
      </w:r>
      <w:r>
        <w:rPr>
          <w:color w:val="231F20"/>
          <w:spacing w:val="3"/>
        </w:rPr>
        <w:t>月，美国消费者金融保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护局（</w:t>
      </w:r>
      <w:r>
        <w:rPr>
          <w:rFonts w:ascii="Times New Roman" w:hAnsi="Times New Roman" w:eastAsia="Times New Roman" w:cs="Times New Roman"/>
          <w:color w:val="231F20"/>
        </w:rPr>
        <w:t>CFPB</w:t>
      </w:r>
      <w:r>
        <w:rPr>
          <w:color w:val="231F20"/>
          <w:spacing w:val="4"/>
        </w:rPr>
        <w:t>）发布新规，将每年处理交易数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8"/>
        </w:rPr>
        <w:t>量在</w:t>
      </w:r>
      <w:r>
        <w:rPr>
          <w:rFonts w:ascii="Times New Roman" w:hAnsi="Times New Roman" w:eastAsia="Times New Roman" w:cs="Times New Roman"/>
          <w:color w:val="231F20"/>
          <w:spacing w:val="8"/>
        </w:rPr>
        <w:t>5000</w:t>
      </w:r>
      <w:r>
        <w:rPr>
          <w:color w:val="231F20"/>
          <w:spacing w:val="8"/>
        </w:rPr>
        <w:t>万笔以上的数字支付服务商纳入其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监管范围，以保护交易安全，防范电信诈骗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和交易账户滥用。三是关注人工智能新兴风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险。美国金融稳定监督管理委员会（</w:t>
      </w:r>
      <w:r>
        <w:rPr>
          <w:rFonts w:ascii="Times New Roman" w:hAnsi="Times New Roman" w:eastAsia="Times New Roman" w:cs="Times New Roman"/>
          <w:color w:val="231F20"/>
        </w:rPr>
        <w:t>FSOC</w:t>
      </w:r>
      <w:r>
        <w:rPr>
          <w:color w:val="231F20"/>
          <w:spacing w:val="3"/>
        </w:rPr>
        <w:t>）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21"/>
        </w:rPr>
        <w:t>组建了人工智能工作小组，负责跟进人工</w:t>
      </w:r>
    </w:p>
    <w:p>
      <w:pPr>
        <w:spacing w:line="248" w:lineRule="auto"/>
        <w:sectPr>
          <w:type w:val="continuous"/>
          <w:pgSz w:w="11906" w:h="16158"/>
          <w:pgMar w:top="1384" w:right="1416" w:bottom="400" w:left="1703" w:header="1061" w:footer="0" w:gutter="0"/>
          <w:cols w:equalWidth="0" w:num="2">
            <w:col w:w="4521" w:space="100"/>
            <w:col w:w="4165" w:space="0"/>
          </w:cols>
        </w:sectPr>
        <w:rPr/>
      </w:pPr>
    </w:p>
    <w:p>
      <w:pPr>
        <w:spacing w:before="172"/>
        <w:rPr/>
      </w:pPr>
      <w:r/>
    </w:p>
    <w:p>
      <w:pPr>
        <w:sectPr>
          <w:headerReference w:type="default" r:id="rId240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5" w:right="350" w:firstLine="1"/>
        <w:spacing w:before="39" w:line="255" w:lineRule="auto"/>
        <w:rPr/>
      </w:pPr>
      <w:bookmarkStart w:name="bookmark55" w:id="49"/>
      <w:bookmarkEnd w:id="49"/>
      <w:r>
        <w:rPr>
          <w:color w:val="231F20"/>
          <w:spacing w:val="21"/>
        </w:rPr>
        <w:t>智能发展动态，监测相关新兴风险对金融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体系产生的影响。   </w:t>
      </w:r>
      <w:r>
        <w:rPr>
          <w:rFonts w:ascii="Times New Roman" w:hAnsi="Times New Roman" w:eastAsia="Times New Roman" w:cs="Times New Roman"/>
          <w:color w:val="231F20"/>
          <w:spacing w:val="9"/>
        </w:rPr>
        <w:t>12</w:t>
      </w:r>
      <w:r>
        <w:rPr>
          <w:rFonts w:ascii="Times New Roman" w:hAnsi="Times New Roman" w:eastAsia="Times New Roman" w:cs="Times New Roman"/>
          <w:color w:val="231F20"/>
          <w:spacing w:val="-13"/>
        </w:rPr>
        <w:t xml:space="preserve"> </w:t>
      </w:r>
      <w:r>
        <w:rPr>
          <w:color w:val="231F20"/>
          <w:spacing w:val="9"/>
        </w:rPr>
        <w:t>月，美国财政部发布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《金融服务中人工智能的应用、机遇及风险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9"/>
        </w:rPr>
        <w:t>报告》，指出人工智能技术在金融领域应用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中的数据风险、消费者安全、第三方风险、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非法金融活动等问题，指出亟须修订相关法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律、法规和指导性文件。</w:t>
      </w:r>
    </w:p>
    <w:p>
      <w:pPr>
        <w:pStyle w:val="BodyText"/>
        <w:ind w:left="417"/>
        <w:spacing w:before="105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5"/>
        </w:rPr>
        <w:t>（二）欧盟</w:t>
      </w:r>
    </w:p>
    <w:p>
      <w:pPr>
        <w:pStyle w:val="BodyText"/>
        <w:ind w:left="5" w:right="350" w:firstLine="435"/>
        <w:spacing w:before="259" w:line="249" w:lineRule="auto"/>
        <w:jc w:val="both"/>
        <w:rPr/>
      </w:pPr>
      <w:r>
        <w:rPr>
          <w:color w:val="231F20"/>
          <w:spacing w:val="1"/>
        </w:rPr>
        <w:t>系统性风险监测和评估。</w:t>
      </w:r>
      <w:r>
        <w:rPr>
          <w:color w:val="231F20"/>
          <w:spacing w:val="4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11</w:t>
      </w:r>
      <w:r>
        <w:rPr>
          <w:color w:val="231F20"/>
          <w:spacing w:val="1"/>
        </w:rPr>
        <w:t>月，</w:t>
      </w:r>
      <w:r>
        <w:rPr>
          <w:color w:val="231F20"/>
        </w:rPr>
        <w:t xml:space="preserve">  </w:t>
      </w:r>
      <w:r>
        <w:rPr>
          <w:color w:val="231F20"/>
          <w:spacing w:val="19"/>
        </w:rPr>
        <w:t>欧央行（</w:t>
      </w:r>
      <w:r>
        <w:rPr>
          <w:rFonts w:ascii="Times New Roman" w:hAnsi="Times New Roman" w:eastAsia="Times New Roman" w:cs="Times New Roman"/>
          <w:color w:val="231F20"/>
        </w:rPr>
        <w:t>ECB</w:t>
      </w:r>
      <w:r>
        <w:rPr>
          <w:rFonts w:ascii="Times New Roman" w:hAnsi="Times New Roman" w:eastAsia="Times New Roman" w:cs="Times New Roman"/>
          <w:color w:val="231F20"/>
          <w:spacing w:val="19"/>
        </w:rPr>
        <w:t xml:space="preserve"> </w:t>
      </w:r>
      <w:r>
        <w:rPr>
          <w:color w:val="231F20"/>
          <w:spacing w:val="19"/>
        </w:rPr>
        <w:t>）发布《金融稳定报告》指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出，在地缘政治局势紧张和贸易政策不确定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性加剧的背景下，欧元区经济复苏步伐较为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缓慢，金融体系的脆弱性仍然居高不下。金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融市场波动加大，股票市场整体估值过高，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人工智能行业市值占比显著上升。部分欧元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区国家财政赤字较高，经济增长预期偏弱，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主权债务的可持续性存在较高风险。企业部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门面临外部需求疲弱和融资成本高企的双重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困境，利润空间受到挤压，部分行业偿债能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力弱化。家庭部门总体风险较为温和，但经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济增长放缓可能使低收入、高负债家庭面临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更大偿债压力。房地产市场前景企稳，但下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行风险依旧存在，个别国家住宅价格高于欧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元区长期均值。商业地产市场持续低迷，抵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押品价值大幅缩水，银行涉商业地产业务的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风险敞口有所扩大。银行整体融资成本有所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降低，但信贷违约风险呈渐进上升态势，盈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利继续承压。</w:t>
      </w:r>
    </w:p>
    <w:p>
      <w:pPr>
        <w:pStyle w:val="BodyText"/>
        <w:ind w:left="438"/>
        <w:spacing w:line="173" w:lineRule="auto"/>
        <w:rPr/>
      </w:pPr>
      <w:r>
        <w:rPr>
          <w:color w:val="231F20"/>
          <w:spacing w:val="4"/>
        </w:rPr>
        <w:t>开展宏观审慎管理。</w:t>
      </w:r>
      <w:r>
        <w:rPr>
          <w:color w:val="231F20"/>
          <w:spacing w:val="3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2024</w:t>
      </w:r>
      <w:r>
        <w:rPr>
          <w:color w:val="231F20"/>
          <w:spacing w:val="4"/>
        </w:rPr>
        <w:t>年，欧盟成员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6" w:firstLine="19"/>
        <w:spacing w:before="48" w:line="249" w:lineRule="auto"/>
        <w:jc w:val="both"/>
        <w:rPr/>
      </w:pPr>
      <w:r>
        <w:rPr>
          <w:color w:val="231F20"/>
          <w:spacing w:val="6"/>
        </w:rPr>
        <w:t>国继续通过差异化的逆周期资本缓冲要求，</w:t>
      </w:r>
      <w:r>
        <w:rPr>
          <w:color w:val="231F20"/>
        </w:rPr>
        <w:t xml:space="preserve">  </w:t>
      </w:r>
      <w:r>
        <w:rPr>
          <w:color w:val="231F20"/>
          <w:spacing w:val="3"/>
        </w:rPr>
        <w:t>强化其银行业稳健性。如法国于</w:t>
      </w:r>
      <w:r>
        <w:rPr>
          <w:rFonts w:ascii="Times New Roman" w:hAnsi="Times New Roman" w:eastAsia="Times New Roman" w:cs="Times New Roman"/>
          <w:color w:val="231F20"/>
          <w:spacing w:val="3"/>
        </w:rPr>
        <w:t>2024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月开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始实施</w:t>
      </w:r>
      <w:r>
        <w:rPr>
          <w:rFonts w:ascii="Times New Roman" w:hAnsi="Times New Roman" w:eastAsia="Times New Roman" w:cs="Times New Roman"/>
          <w:color w:val="231F20"/>
          <w:spacing w:val="-1"/>
        </w:rPr>
        <w:t>1%</w:t>
      </w:r>
      <w:r>
        <w:rPr>
          <w:color w:val="231F20"/>
          <w:spacing w:val="-1"/>
        </w:rPr>
        <w:t>的逆周期资本缓冲（</w:t>
      </w:r>
      <w:r>
        <w:rPr>
          <w:rFonts w:ascii="Times New Roman" w:hAnsi="Times New Roman" w:eastAsia="Times New Roman" w:cs="Times New Roman"/>
          <w:color w:val="231F20"/>
          <w:spacing w:val="-1"/>
        </w:rPr>
        <w:t>CCyB</w:t>
      </w:r>
      <w:r>
        <w:rPr>
          <w:color w:val="231F20"/>
          <w:spacing w:val="-1"/>
        </w:rPr>
        <w:t>）要求，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8"/>
        </w:rPr>
        <w:t>冰岛于</w:t>
      </w:r>
      <w:r>
        <w:rPr>
          <w:rFonts w:ascii="Times New Roman" w:hAnsi="Times New Roman" w:eastAsia="Times New Roman" w:cs="Times New Roman"/>
          <w:color w:val="231F20"/>
          <w:spacing w:val="8"/>
        </w:rPr>
        <w:t>3</w:t>
      </w:r>
      <w:r>
        <w:rPr>
          <w:color w:val="231F20"/>
          <w:spacing w:val="8"/>
        </w:rPr>
        <w:t>月开始实施</w:t>
      </w:r>
      <w:r>
        <w:rPr>
          <w:rFonts w:ascii="Times New Roman" w:hAnsi="Times New Roman" w:eastAsia="Times New Roman" w:cs="Times New Roman"/>
          <w:color w:val="231F20"/>
          <w:spacing w:val="8"/>
        </w:rPr>
        <w:t>2.5%</w:t>
      </w:r>
      <w:r>
        <w:rPr>
          <w:color w:val="231F20"/>
          <w:spacing w:val="8"/>
        </w:rPr>
        <w:t>的</w:t>
      </w:r>
      <w:r>
        <w:rPr>
          <w:rFonts w:ascii="Times New Roman" w:hAnsi="Times New Roman" w:eastAsia="Times New Roman" w:cs="Times New Roman"/>
          <w:color w:val="231F20"/>
        </w:rPr>
        <w:t>CCyB</w:t>
      </w:r>
      <w:r>
        <w:rPr>
          <w:color w:val="231F20"/>
          <w:spacing w:val="8"/>
        </w:rPr>
        <w:t>要求，荷兰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于</w:t>
      </w:r>
      <w:r>
        <w:rPr>
          <w:rFonts w:ascii="Times New Roman" w:hAnsi="Times New Roman" w:eastAsia="Times New Roman" w:cs="Times New Roman"/>
          <w:color w:val="231F20"/>
          <w:spacing w:val="5"/>
        </w:rPr>
        <w:t>5</w:t>
      </w:r>
      <w:r>
        <w:rPr>
          <w:color w:val="231F20"/>
          <w:spacing w:val="5"/>
        </w:rPr>
        <w:t>月开始实施</w:t>
      </w:r>
      <w:r>
        <w:rPr>
          <w:rFonts w:ascii="Times New Roman" w:hAnsi="Times New Roman" w:eastAsia="Times New Roman" w:cs="Times New Roman"/>
          <w:color w:val="231F20"/>
          <w:spacing w:val="5"/>
        </w:rPr>
        <w:t>2%</w:t>
      </w:r>
      <w:r>
        <w:rPr>
          <w:color w:val="231F20"/>
          <w:spacing w:val="5"/>
        </w:rPr>
        <w:t>的</w:t>
      </w:r>
      <w:r>
        <w:rPr>
          <w:rFonts w:ascii="Times New Roman" w:hAnsi="Times New Roman" w:eastAsia="Times New Roman" w:cs="Times New Roman"/>
          <w:color w:val="231F20"/>
        </w:rPr>
        <w:t>CCyB</w:t>
      </w:r>
      <w:r>
        <w:rPr>
          <w:color w:val="231F20"/>
          <w:spacing w:val="5"/>
        </w:rPr>
        <w:t>要求，爱尔兰、克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罗地亚于</w:t>
      </w:r>
      <w:r>
        <w:rPr>
          <w:rFonts w:ascii="Times New Roman" w:hAnsi="Times New Roman" w:eastAsia="Times New Roman" w:cs="Times New Roman"/>
          <w:color w:val="231F20"/>
          <w:spacing w:val="6"/>
        </w:rPr>
        <w:t>6</w:t>
      </w:r>
      <w:r>
        <w:rPr>
          <w:color w:val="231F20"/>
          <w:spacing w:val="6"/>
        </w:rPr>
        <w:t>月开始实施</w:t>
      </w:r>
      <w:r>
        <w:rPr>
          <w:rFonts w:ascii="Times New Roman" w:hAnsi="Times New Roman" w:eastAsia="Times New Roman" w:cs="Times New Roman"/>
          <w:color w:val="231F20"/>
          <w:spacing w:val="6"/>
        </w:rPr>
        <w:t>1.5%</w:t>
      </w:r>
      <w:r>
        <w:rPr>
          <w:color w:val="231F20"/>
          <w:spacing w:val="6"/>
        </w:rPr>
        <w:t>的</w:t>
      </w:r>
      <w:r>
        <w:rPr>
          <w:rFonts w:ascii="Times New Roman" w:hAnsi="Times New Roman" w:eastAsia="Times New Roman" w:cs="Times New Roman"/>
          <w:color w:val="231F20"/>
        </w:rPr>
        <w:t>CCyB</w:t>
      </w:r>
      <w:r>
        <w:rPr>
          <w:color w:val="231F20"/>
          <w:spacing w:val="6"/>
        </w:rPr>
        <w:t>要求，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6"/>
        </w:rPr>
        <w:t>匈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牙利于</w:t>
      </w:r>
      <w:r>
        <w:rPr>
          <w:rFonts w:ascii="Times New Roman" w:hAnsi="Times New Roman" w:eastAsia="Times New Roman" w:cs="Times New Roman"/>
          <w:color w:val="231F20"/>
          <w:spacing w:val="5"/>
        </w:rPr>
        <w:t>7</w:t>
      </w:r>
      <w:r>
        <w:rPr>
          <w:color w:val="231F20"/>
          <w:spacing w:val="5"/>
        </w:rPr>
        <w:t>月开始实施</w:t>
      </w:r>
      <w:r>
        <w:rPr>
          <w:rFonts w:ascii="Times New Roman" w:hAnsi="Times New Roman" w:eastAsia="Times New Roman" w:cs="Times New Roman"/>
          <w:color w:val="231F20"/>
          <w:spacing w:val="5"/>
        </w:rPr>
        <w:t>0.5%</w:t>
      </w:r>
      <w:r>
        <w:rPr>
          <w:color w:val="231F20"/>
          <w:spacing w:val="5"/>
        </w:rPr>
        <w:t>的</w:t>
      </w:r>
      <w:r>
        <w:rPr>
          <w:rFonts w:ascii="Times New Roman" w:hAnsi="Times New Roman" w:eastAsia="Times New Roman" w:cs="Times New Roman"/>
          <w:color w:val="231F20"/>
        </w:rPr>
        <w:t>CCyB</w:t>
      </w:r>
      <w:r>
        <w:rPr>
          <w:color w:val="231F20"/>
          <w:spacing w:val="5"/>
        </w:rPr>
        <w:t>要求， 比利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时于</w:t>
      </w:r>
      <w:r>
        <w:rPr>
          <w:rFonts w:ascii="Times New Roman" w:hAnsi="Times New Roman" w:eastAsia="Times New Roman" w:cs="Times New Roman"/>
          <w:color w:val="231F20"/>
          <w:spacing w:val="-1"/>
        </w:rPr>
        <w:t>10</w:t>
      </w:r>
      <w:r>
        <w:rPr>
          <w:color w:val="231F20"/>
          <w:spacing w:val="-1"/>
        </w:rPr>
        <w:t>月开始实施</w:t>
      </w:r>
      <w:r>
        <w:rPr>
          <w:rFonts w:ascii="Times New Roman" w:hAnsi="Times New Roman" w:eastAsia="Times New Roman" w:cs="Times New Roman"/>
          <w:color w:val="231F20"/>
          <w:spacing w:val="-1"/>
        </w:rPr>
        <w:t>1%</w:t>
      </w:r>
      <w:r>
        <w:rPr>
          <w:color w:val="231F20"/>
          <w:spacing w:val="-1"/>
        </w:rPr>
        <w:t>的</w:t>
      </w:r>
      <w:r>
        <w:rPr>
          <w:rFonts w:ascii="Times New Roman" w:hAnsi="Times New Roman" w:eastAsia="Times New Roman" w:cs="Times New Roman"/>
          <w:color w:val="231F20"/>
          <w:spacing w:val="-1"/>
        </w:rPr>
        <w:t>CCyB</w:t>
      </w:r>
      <w:r>
        <w:rPr>
          <w:color w:val="231F20"/>
          <w:spacing w:val="-1"/>
        </w:rPr>
        <w:t>要求。欧洲系统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3"/>
        </w:rPr>
        <w:t>性风险委员会（</w:t>
      </w:r>
      <w:r>
        <w:rPr>
          <w:rFonts w:ascii="Times New Roman" w:hAnsi="Times New Roman" w:eastAsia="Times New Roman" w:cs="Times New Roman"/>
          <w:color w:val="231F20"/>
        </w:rPr>
        <w:t>ESRB</w:t>
      </w:r>
      <w:r>
        <w:rPr>
          <w:color w:val="231F20"/>
          <w:spacing w:val="3"/>
        </w:rPr>
        <w:t>）于</w:t>
      </w:r>
      <w:r>
        <w:rPr>
          <w:rFonts w:ascii="Times New Roman" w:hAnsi="Times New Roman" w:eastAsia="Times New Roman" w:cs="Times New Roman"/>
          <w:color w:val="231F20"/>
          <w:spacing w:val="3"/>
        </w:rPr>
        <w:t>12</w:t>
      </w:r>
      <w:r>
        <w:rPr>
          <w:color w:val="231F20"/>
          <w:spacing w:val="3"/>
        </w:rPr>
        <w:t>月发布关于宏观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9"/>
        </w:rPr>
        <w:t>审慎政策的报告，要求欧盟成员国监管机构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建立一套金融稳定工具箱，不断完善压力测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试、非结构化数据分析应用以及跨部门风险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监测体系等防控金融风险的政策工具，提高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金融机构稳健性。</w:t>
      </w:r>
    </w:p>
    <w:p>
      <w:pPr>
        <w:pStyle w:val="BodyText"/>
        <w:ind w:firstLine="436"/>
        <w:spacing w:before="20" w:line="241" w:lineRule="auto"/>
        <w:jc w:val="both"/>
        <w:rPr/>
      </w:pPr>
      <w:r>
        <w:rPr>
          <w:color w:val="231F20"/>
          <w:spacing w:val="19"/>
        </w:rPr>
        <w:t>监测非银行金融中介业务。   </w:t>
      </w:r>
      <w:r>
        <w:rPr>
          <w:rFonts w:ascii="Times New Roman" w:hAnsi="Times New Roman" w:eastAsia="Times New Roman" w:cs="Times New Roman"/>
          <w:color w:val="231F20"/>
          <w:spacing w:val="19"/>
        </w:rPr>
        <w:t>2024</w:t>
      </w:r>
      <w:r>
        <w:rPr>
          <w:rFonts w:ascii="Times New Roman" w:hAnsi="Times New Roman" w:eastAsia="Times New Roman" w:cs="Times New Roman"/>
          <w:color w:val="231F20"/>
          <w:spacing w:val="7"/>
        </w:rPr>
        <w:t xml:space="preserve"> </w:t>
      </w:r>
      <w:r>
        <w:rPr>
          <w:color w:val="231F20"/>
          <w:spacing w:val="19"/>
        </w:rPr>
        <w:t>年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8"/>
        </w:rPr>
        <w:t>6 </w:t>
      </w:r>
      <w:r>
        <w:rPr>
          <w:color w:val="231F20"/>
          <w:spacing w:val="38"/>
        </w:rPr>
        <w:t>月，</w:t>
      </w:r>
      <w:r>
        <w:rPr>
          <w:color w:val="231F20"/>
          <w:spacing w:val="48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ESRB</w:t>
      </w:r>
      <w:r>
        <w:rPr>
          <w:rFonts w:ascii="Times New Roman" w:hAnsi="Times New Roman" w:eastAsia="Times New Roman" w:cs="Times New Roman"/>
          <w:color w:val="231F20"/>
          <w:spacing w:val="38"/>
        </w:rPr>
        <w:t xml:space="preserve"> </w:t>
      </w:r>
      <w:r>
        <w:rPr>
          <w:color w:val="231F20"/>
          <w:spacing w:val="38"/>
        </w:rPr>
        <w:t>发布欧盟非银行金融中介</w:t>
      </w:r>
      <w:r>
        <w:rPr>
          <w:color w:val="231F20"/>
        </w:rPr>
        <w:t xml:space="preserve"> </w:t>
      </w:r>
      <w:r>
        <w:rPr>
          <w:color w:val="231F20"/>
          <w:spacing w:val="12"/>
        </w:rPr>
        <w:t>（</w:t>
      </w:r>
      <w:r>
        <w:rPr>
          <w:rFonts w:ascii="Times New Roman" w:hAnsi="Times New Roman" w:eastAsia="Times New Roman" w:cs="Times New Roman"/>
          <w:color w:val="231F20"/>
        </w:rPr>
        <w:t>NBFI</w:t>
      </w:r>
      <w:r>
        <w:rPr>
          <w:color w:val="231F20"/>
          <w:spacing w:val="12"/>
        </w:rPr>
        <w:t>）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12"/>
        </w:rPr>
        <w:t>监测报告。截至</w:t>
      </w:r>
      <w:r>
        <w:rPr>
          <w:rFonts w:ascii="Times New Roman" w:hAnsi="Times New Roman" w:eastAsia="Times New Roman" w:cs="Times New Roman"/>
          <w:color w:val="231F20"/>
          <w:spacing w:val="12"/>
        </w:rPr>
        <w:t>2023</w:t>
      </w:r>
      <w:r>
        <w:rPr>
          <w:color w:val="231F20"/>
          <w:spacing w:val="12"/>
        </w:rPr>
        <w:t>年末， 欧盟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NBFI</w:t>
      </w:r>
      <w:r>
        <w:rPr>
          <w:color w:val="231F20"/>
          <w:spacing w:val="8"/>
        </w:rPr>
        <w:t>业务规模约为</w:t>
      </w:r>
      <w:r>
        <w:rPr>
          <w:rFonts w:ascii="Times New Roman" w:hAnsi="Times New Roman" w:eastAsia="Times New Roman" w:cs="Times New Roman"/>
          <w:color w:val="231F20"/>
          <w:spacing w:val="8"/>
        </w:rPr>
        <w:t>44.8</w:t>
      </w:r>
      <w:r>
        <w:rPr>
          <w:color w:val="231F20"/>
          <w:spacing w:val="8"/>
        </w:rPr>
        <w:t>万亿欧元，较</w:t>
      </w:r>
      <w:r>
        <w:rPr>
          <w:rFonts w:ascii="Times New Roman" w:hAnsi="Times New Roman" w:eastAsia="Times New Roman" w:cs="Times New Roman"/>
          <w:color w:val="231F20"/>
          <w:spacing w:val="8"/>
        </w:rPr>
        <w:t>2022</w:t>
      </w:r>
      <w:r>
        <w:rPr>
          <w:color w:val="231F20"/>
          <w:spacing w:val="8"/>
        </w:rPr>
        <w:t>年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0"/>
        </w:rPr>
        <w:t>上升了</w:t>
      </w:r>
      <w:r>
        <w:rPr>
          <w:rFonts w:ascii="Times New Roman" w:hAnsi="Times New Roman" w:eastAsia="Times New Roman" w:cs="Times New Roman"/>
          <w:color w:val="231F20"/>
          <w:spacing w:val="10"/>
        </w:rPr>
        <w:t>2.1</w:t>
      </w:r>
      <w:r>
        <w:rPr>
          <w:color w:val="231F20"/>
          <w:spacing w:val="10"/>
        </w:rPr>
        <w:t>万亿欧元。</w:t>
      </w:r>
      <w:r>
        <w:rPr>
          <w:color w:val="231F20"/>
          <w:spacing w:val="3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0"/>
        </w:rPr>
        <w:t>2023</w:t>
      </w:r>
      <w:r>
        <w:rPr>
          <w:color w:val="231F20"/>
          <w:spacing w:val="10"/>
        </w:rPr>
        <w:t>年</w:t>
      </w:r>
      <w:r>
        <w:rPr>
          <w:rFonts w:ascii="Times New Roman" w:hAnsi="Times New Roman" w:eastAsia="Times New Roman" w:cs="Times New Roman"/>
          <w:color w:val="231F20"/>
        </w:rPr>
        <w:t>NBFI</w:t>
      </w:r>
      <w:r>
        <w:rPr>
          <w:color w:val="231F20"/>
          <w:spacing w:val="10"/>
        </w:rPr>
        <w:t>面临的主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要风险包括：欧盟经济疲软叠加高利率环境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导致信用风险上升；部分市场估值虚高，地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缘政治紧张局势和政治不确定性可能加剧资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产价格波动； </w:t>
      </w:r>
      <w:r>
        <w:rPr>
          <w:rFonts w:ascii="Times New Roman" w:hAnsi="Times New Roman" w:eastAsia="Times New Roman" w:cs="Times New Roman"/>
          <w:color w:val="231F20"/>
        </w:rPr>
        <w:t>NBFI</w:t>
      </w:r>
      <w:r>
        <w:rPr>
          <w:color w:val="231F20"/>
          <w:spacing w:val="4"/>
        </w:rPr>
        <w:t>存在流动性错配问题，部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分开放式基金投资于流动性较差的资产，投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资者大规模赎回时可能引发顺周期抛售，加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20"/>
        </w:rPr>
        <w:t>剧底层资产市场价格波动；部分</w:t>
      </w:r>
      <w:r>
        <w:rPr>
          <w:rFonts w:ascii="Times New Roman" w:hAnsi="Times New Roman" w:eastAsia="Times New Roman" w:cs="Times New Roman"/>
          <w:color w:val="231F20"/>
        </w:rPr>
        <w:t>NBFI</w:t>
      </w:r>
      <w:r>
        <w:rPr>
          <w:color w:val="231F20"/>
          <w:spacing w:val="20"/>
        </w:rPr>
        <w:t>过度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使用杠杆增大风险敞口，可能放大现有流动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性风险或市场风险；非银行金融部门内部和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部门之间的关联性仍然较高，可能加剧风险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</w:rPr>
        <w:t>传染。</w:t>
      </w:r>
    </w:p>
    <w:p>
      <w:pPr>
        <w:spacing w:line="241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18" w:space="100"/>
            <w:col w:w="4171" w:space="0"/>
          </w:cols>
        </w:sectPr>
        <w:rPr/>
      </w:pPr>
    </w:p>
    <w:p>
      <w:pPr>
        <w:spacing w:before="149"/>
        <w:rPr/>
      </w:pPr>
      <w:r/>
    </w:p>
    <w:p>
      <w:pPr>
        <w:sectPr>
          <w:headerReference w:type="default" r:id="rId241"/>
          <w:pgSz w:w="11906" w:h="16158"/>
          <w:pgMar w:top="1384" w:right="1416" w:bottom="400" w:left="1702" w:header="1061" w:footer="0" w:gutter="0"/>
          <w:cols w:equalWidth="0" w:num="1">
            <w:col w:w="8787" w:space="0"/>
          </w:cols>
        </w:sectPr>
        <w:rPr/>
      </w:pPr>
    </w:p>
    <w:p>
      <w:pPr>
        <w:pStyle w:val="BodyText"/>
        <w:ind w:left="416"/>
        <w:spacing w:before="279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7"/>
        </w:rPr>
        <w:t>（三）英国</w:t>
      </w:r>
    </w:p>
    <w:p>
      <w:pPr>
        <w:pStyle w:val="BodyText"/>
        <w:ind w:right="356" w:firstLine="440"/>
        <w:spacing w:before="255" w:line="249" w:lineRule="auto"/>
        <w:jc w:val="both"/>
        <w:rPr/>
      </w:pPr>
      <w:r>
        <w:rPr>
          <w:color w:val="231F20"/>
          <w:spacing w:val="1"/>
        </w:rPr>
        <w:t>系统性风险监测和评估。</w:t>
      </w:r>
      <w:r>
        <w:rPr>
          <w:color w:val="231F20"/>
          <w:spacing w:val="4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11</w:t>
      </w:r>
      <w:r>
        <w:rPr>
          <w:color w:val="231F20"/>
          <w:spacing w:val="1"/>
        </w:rPr>
        <w:t>月，</w:t>
      </w:r>
      <w:r>
        <w:rPr>
          <w:color w:val="231F20"/>
        </w:rPr>
        <w:t xml:space="preserve">  </w:t>
      </w:r>
      <w:r>
        <w:rPr>
          <w:color w:val="231F20"/>
        </w:rPr>
        <w:t>英格兰银行金融政策委员会（</w:t>
      </w:r>
      <w:r>
        <w:rPr>
          <w:rFonts w:ascii="Times New Roman" w:hAnsi="Times New Roman" w:eastAsia="Times New Roman" w:cs="Times New Roman"/>
          <w:color w:val="231F20"/>
        </w:rPr>
        <w:t>FPC</w:t>
      </w:r>
      <w:r>
        <w:rPr>
          <w:color w:val="231F20"/>
        </w:rPr>
        <w:t>）发布《金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9"/>
        </w:rPr>
        <w:t>融稳定报告》。报告显示，国际方面，全球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金融体系的不确定性和风险有所增加，地缘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政治紧张局势影响全球金融稳定，气候变化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带来的物理风险和转型风险持续显现。国内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7"/>
        </w:rPr>
        <w:t>方面，银行业资本充足，流动性水平较高，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7"/>
        </w:rPr>
        <w:t>盈利能力有所上升，资产质量进一步改善，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信贷规模持续增长；但中小企业经营持续承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压，大型企业面临再融资挑战，商业地产因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远程办公趋势持续贬值，货币市场基金和开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放式基金可能面临流动性风险，私募股权与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寿险在业务和资金层面深度融合，寿险资金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作为低成本长期资金来源用于私募股权行业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高风险投资，潜在风险需重点关注。</w:t>
      </w:r>
    </w:p>
    <w:p>
      <w:pPr>
        <w:pStyle w:val="BodyText"/>
        <w:ind w:left="4" w:right="356" w:firstLine="432"/>
        <w:spacing w:before="16"/>
        <w:jc w:val="both"/>
        <w:rPr/>
      </w:pPr>
      <w:r>
        <w:rPr>
          <w:color w:val="231F20"/>
          <w:spacing w:val="1"/>
        </w:rPr>
        <w:t>开展银行体系压力测试。</w:t>
      </w:r>
      <w:r>
        <w:rPr>
          <w:color w:val="231F20"/>
          <w:spacing w:val="2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11</w:t>
      </w:r>
      <w:r>
        <w:rPr>
          <w:color w:val="231F20"/>
          <w:spacing w:val="1"/>
        </w:rPr>
        <w:t>月，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英格兰银行发布针对大型银行（占实体经济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>贷款约</w:t>
      </w:r>
      <w:r>
        <w:rPr>
          <w:rFonts w:ascii="Times New Roman" w:hAnsi="Times New Roman" w:eastAsia="Times New Roman" w:cs="Times New Roman"/>
          <w:color w:val="231F20"/>
          <w:spacing w:val="10"/>
        </w:rPr>
        <w:t>75%</w:t>
      </w:r>
      <w:r>
        <w:rPr>
          <w:color w:val="231F20"/>
          <w:spacing w:val="10"/>
        </w:rPr>
        <w:t>）和建房互助协会压力测试的结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果。测试设定供给冲击和需求冲击：供给冲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击情景聚焦“高利率</w:t>
      </w:r>
      <w:r>
        <w:rPr>
          <w:rFonts w:ascii="Times New Roman" w:hAnsi="Times New Roman" w:eastAsia="Times New Roman" w:cs="Times New Roman"/>
          <w:color w:val="231F20"/>
          <w:spacing w:val="2"/>
        </w:rPr>
        <w:t>+</w:t>
      </w:r>
      <w:r>
        <w:rPr>
          <w:color w:val="231F20"/>
          <w:spacing w:val="2"/>
        </w:rPr>
        <w:t>高通胀”压力，假设央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9"/>
        </w:rPr>
        <w:t>行利率升至</w:t>
      </w:r>
      <w:r>
        <w:rPr>
          <w:rFonts w:ascii="Times New Roman" w:hAnsi="Times New Roman" w:eastAsia="Times New Roman" w:cs="Times New Roman"/>
          <w:color w:val="231F20"/>
          <w:spacing w:val="9"/>
        </w:rPr>
        <w:t>9%</w:t>
      </w:r>
      <w:r>
        <w:rPr>
          <w:rFonts w:ascii="Times New Roman" w:hAnsi="Times New Roman" w:eastAsia="Times New Roman" w:cs="Times New Roman"/>
          <w:color w:val="231F20"/>
          <w:spacing w:val="-8"/>
        </w:rPr>
        <w:t xml:space="preserve"> </w:t>
      </w:r>
      <w:r>
        <w:rPr>
          <w:color w:val="231F20"/>
          <w:spacing w:val="9"/>
        </w:rPr>
        <w:t>、</w:t>
      </w:r>
      <w:r>
        <w:rPr>
          <w:color w:val="231F20"/>
          <w:spacing w:val="-24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9"/>
        </w:rPr>
        <w:t>下降</w:t>
      </w:r>
      <w:r>
        <w:rPr>
          <w:rFonts w:ascii="Times New Roman" w:hAnsi="Times New Roman" w:eastAsia="Times New Roman" w:cs="Times New Roman"/>
          <w:color w:val="231F20"/>
          <w:spacing w:val="9"/>
        </w:rPr>
        <w:t>5%</w:t>
      </w:r>
      <w:r>
        <w:rPr>
          <w:color w:val="231F20"/>
          <w:spacing w:val="9"/>
        </w:rPr>
        <w:t>、失业率升至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8.5%</w:t>
      </w:r>
      <w:r>
        <w:rPr>
          <w:color w:val="231F20"/>
          <w:spacing w:val="6"/>
        </w:rPr>
        <w:t>、全球同步衰退；需求冲击模拟“低增</w:t>
      </w:r>
      <w:r>
        <w:rPr>
          <w:color w:val="231F20"/>
          <w:spacing w:val="14"/>
          <w:w w:val="102"/>
        </w:rPr>
        <w:t xml:space="preserve"> </w:t>
      </w:r>
      <w:r>
        <w:rPr>
          <w:color w:val="231F20"/>
          <w:spacing w:val="12"/>
        </w:rPr>
        <w:t>长</w:t>
      </w:r>
      <w:r>
        <w:rPr>
          <w:rFonts w:ascii="Times New Roman" w:hAnsi="Times New Roman" w:eastAsia="Times New Roman" w:cs="Times New Roman"/>
          <w:color w:val="231F20"/>
          <w:spacing w:val="12"/>
        </w:rPr>
        <w:t>+</w:t>
      </w:r>
      <w:r>
        <w:rPr>
          <w:rFonts w:ascii="Times New Roman" w:hAnsi="Times New Roman" w:eastAsia="Times New Roman" w:cs="Times New Roman"/>
          <w:color w:val="231F20"/>
          <w:spacing w:val="-20"/>
        </w:rPr>
        <w:t xml:space="preserve"> </w:t>
      </w:r>
      <w:r>
        <w:rPr>
          <w:color w:val="231F20"/>
          <w:spacing w:val="12"/>
        </w:rPr>
        <w:t>低利率”，假设需求骤降、央行利率降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至</w:t>
      </w:r>
      <w:r>
        <w:rPr>
          <w:rFonts w:ascii="Times New Roman" w:hAnsi="Times New Roman" w:eastAsia="Times New Roman" w:cs="Times New Roman"/>
          <w:color w:val="231F20"/>
          <w:spacing w:val="7"/>
        </w:rPr>
        <w:t>0.1%</w:t>
      </w:r>
      <w:r>
        <w:rPr>
          <w:color w:val="231F20"/>
          <w:spacing w:val="7"/>
        </w:rPr>
        <w:t>、企业盈利承压、资产价格暴跌、银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行信用风险集中暴露。两种情景下，英国银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行体系的资本充足率表现稳健，均高于设定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的最低要求。供给冲击情景中，核心一级资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本充足率从</w:t>
      </w:r>
      <w:r>
        <w:rPr>
          <w:rFonts w:ascii="Times New Roman" w:hAnsi="Times New Roman" w:eastAsia="Times New Roman" w:cs="Times New Roman"/>
          <w:color w:val="231F20"/>
          <w:spacing w:val="5"/>
        </w:rPr>
        <w:t>14.7%</w:t>
      </w:r>
      <w:r>
        <w:rPr>
          <w:color w:val="231F20"/>
          <w:spacing w:val="5"/>
        </w:rPr>
        <w:t>降至</w:t>
      </w:r>
      <w:r>
        <w:rPr>
          <w:rFonts w:ascii="Times New Roman" w:hAnsi="Times New Roman" w:eastAsia="Times New Roman" w:cs="Times New Roman"/>
          <w:color w:val="231F20"/>
          <w:spacing w:val="5"/>
        </w:rPr>
        <w:t>10.4%</w:t>
      </w:r>
      <w:r>
        <w:rPr>
          <w:color w:val="231F20"/>
          <w:spacing w:val="5"/>
        </w:rPr>
        <w:t>；需求冲击情景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6"/>
        <w:spacing w:before="45" w:line="179" w:lineRule="auto"/>
        <w:rPr/>
      </w:pPr>
      <w:r>
        <w:rPr>
          <w:color w:val="231F20"/>
          <w:spacing w:val="-3"/>
        </w:rPr>
        <w:t>中，该比率降至</w:t>
      </w:r>
      <w:r>
        <w:rPr>
          <w:rFonts w:ascii="Times New Roman" w:hAnsi="Times New Roman" w:eastAsia="Times New Roman" w:cs="Times New Roman"/>
          <w:color w:val="231F20"/>
          <w:spacing w:val="-3"/>
        </w:rPr>
        <w:t>11.3%</w:t>
      </w:r>
      <w:r>
        <w:rPr>
          <w:color w:val="231F20"/>
          <w:spacing w:val="-3"/>
        </w:rPr>
        <w:t>。</w:t>
      </w:r>
    </w:p>
    <w:p>
      <w:pPr>
        <w:pStyle w:val="BodyText"/>
        <w:ind w:firstLine="435"/>
        <w:spacing w:before="133" w:line="249" w:lineRule="auto"/>
        <w:rPr/>
      </w:pPr>
      <w:r>
        <w:rPr>
          <w:color w:val="231F20"/>
        </w:rPr>
        <w:t>开展全系统范围探索性情景演习。   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rFonts w:ascii="Times New Roman" w:hAnsi="Times New Roman" w:eastAsia="Times New Roman" w:cs="Times New Roman"/>
          <w:color w:val="231F20"/>
          <w:spacing w:val="15"/>
          <w:w w:val="101"/>
        </w:rPr>
        <w:t xml:space="preserve"> </w:t>
      </w:r>
      <w:r>
        <w:rPr>
          <w:color w:val="231F20"/>
          <w:spacing w:val="15"/>
        </w:rPr>
        <w:t>年</w:t>
      </w:r>
      <w:r>
        <w:rPr>
          <w:rFonts w:ascii="Times New Roman" w:hAnsi="Times New Roman" w:eastAsia="Times New Roman" w:cs="Times New Roman"/>
          <w:color w:val="231F20"/>
          <w:spacing w:val="15"/>
        </w:rPr>
        <w:t>11</w:t>
      </w:r>
      <w:r>
        <w:rPr>
          <w:rFonts w:ascii="Times New Roman" w:hAnsi="Times New Roman" w:eastAsia="Times New Roman" w:cs="Times New Roman"/>
          <w:color w:val="231F20"/>
          <w:spacing w:val="-4"/>
        </w:rPr>
        <w:t xml:space="preserve"> </w:t>
      </w:r>
      <w:r>
        <w:rPr>
          <w:color w:val="231F20"/>
          <w:spacing w:val="15"/>
        </w:rPr>
        <w:t>月，英格兰银行首次公布对</w:t>
      </w:r>
      <w:r>
        <w:rPr>
          <w:rFonts w:ascii="Times New Roman" w:hAnsi="Times New Roman" w:eastAsia="Times New Roman" w:cs="Times New Roman"/>
          <w:color w:val="231F20"/>
          <w:spacing w:val="15"/>
        </w:rPr>
        <w:t>50</w:t>
      </w:r>
      <w:r>
        <w:rPr>
          <w:rFonts w:ascii="Times New Roman" w:hAnsi="Times New Roman" w:eastAsia="Times New Roman" w:cs="Times New Roman"/>
          <w:color w:val="231F20"/>
          <w:spacing w:val="-19"/>
        </w:rPr>
        <w:t xml:space="preserve"> </w:t>
      </w:r>
      <w:r>
        <w:rPr>
          <w:color w:val="231F20"/>
          <w:spacing w:val="15"/>
        </w:rPr>
        <w:t>家各类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金融机构开展全系统范围探索性情景测试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4"/>
        </w:rPr>
        <w:t>（</w:t>
      </w:r>
      <w:r>
        <w:rPr>
          <w:rFonts w:ascii="Times New Roman" w:hAnsi="Times New Roman" w:eastAsia="Times New Roman" w:cs="Times New Roman"/>
          <w:color w:val="231F20"/>
        </w:rPr>
        <w:t>SWES</w:t>
      </w:r>
      <w:r>
        <w:rPr>
          <w:color w:val="231F20"/>
          <w:spacing w:val="14"/>
        </w:rPr>
        <w:t>）的结果。测试假设地缘政治紧张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9"/>
        </w:rPr>
        <w:t>局势突然激化，对全球金融市场造成持续两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周的冲击，涉及利率和资产价格大幅变动、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对冲基金违约等事件。结果显示，压力情景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14"/>
        </w:rPr>
        <w:t>下，负债驱动型投资基金（</w:t>
      </w:r>
      <w:r>
        <w:rPr>
          <w:rFonts w:ascii="Times New Roman" w:hAnsi="Times New Roman" w:eastAsia="Times New Roman" w:cs="Times New Roman"/>
          <w:color w:val="231F20"/>
        </w:rPr>
        <w:t>LDI</w:t>
      </w:r>
      <w:r>
        <w:rPr>
          <w:color w:val="231F20"/>
          <w:spacing w:val="14"/>
        </w:rPr>
        <w:t>基金）、对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7"/>
        </w:rPr>
        <w:t>冲基金等会快速采取抛售资产、缩减杠杆、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7"/>
        </w:rPr>
        <w:t>重组资本等行为，导致资产价格螺旋下降、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放大冲击；稳健的回购市场是保持市场稳定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的关键，银行虽有能力通过回购市场提供融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资，但多数银行不愿在冲击初期提供额外资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金，而非银机构在回购融资可获得性较差的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1"/>
        </w:rPr>
        <w:t>情况下将被迫抛售资产；国债市场韧性较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强，大型银行作为做市商可承接约</w:t>
      </w:r>
      <w:r>
        <w:rPr>
          <w:rFonts w:ascii="Times New Roman" w:hAnsi="Times New Roman" w:eastAsia="Times New Roman" w:cs="Times New Roman"/>
          <w:color w:val="231F20"/>
          <w:spacing w:val="-1"/>
        </w:rPr>
        <w:t>70%</w:t>
      </w:r>
      <w:r>
        <w:rPr>
          <w:color w:val="231F20"/>
          <w:spacing w:val="-1"/>
        </w:rPr>
        <w:t>的非银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8"/>
        </w:rPr>
        <w:t>机构抛售债券，但若长期国债集中出售超</w:t>
      </w:r>
      <w:r>
        <w:rPr>
          <w:rFonts w:ascii="Times New Roman" w:hAnsi="Times New Roman" w:eastAsia="Times New Roman" w:cs="Times New Roman"/>
          <w:color w:val="231F20"/>
          <w:spacing w:val="8"/>
        </w:rPr>
        <w:t>50</w:t>
      </w:r>
      <w:r>
        <w:rPr>
          <w:rFonts w:ascii="Times New Roman" w:hAnsi="Times New Roman" w:eastAsia="Times New Roman" w:cs="Times New Roman"/>
          <w:color w:val="231F20"/>
          <w:spacing w:val="10"/>
        </w:rPr>
        <w:t xml:space="preserve"> </w:t>
      </w:r>
      <w:r>
        <w:rPr>
          <w:color w:val="231F20"/>
          <w:spacing w:val="9"/>
        </w:rPr>
        <w:t>亿英镑，可能超出大型银行承接能力；公司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债券市场压力较大，非银机构大规模抛售公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司债券后，银行机构承接能力有限，可能导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致债券价格暴跌。</w:t>
      </w:r>
    </w:p>
    <w:p>
      <w:pPr>
        <w:pStyle w:val="BodyText"/>
        <w:ind w:left="2" w:firstLine="420"/>
        <w:spacing w:line="234" w:lineRule="auto"/>
        <w:jc w:val="both"/>
        <w:rPr/>
      </w:pPr>
      <w:r>
        <w:rPr>
          <w:color w:val="231F20"/>
        </w:rPr>
        <w:t>对主要银行开展可处置性评估。 </w:t>
      </w:r>
      <w:r>
        <w:rPr>
          <w:rFonts w:ascii="Times New Roman" w:hAnsi="Times New Roman" w:eastAsia="Times New Roman" w:cs="Times New Roman"/>
          <w:color w:val="231F20"/>
        </w:rPr>
        <w:t>2024</w:t>
      </w:r>
      <w:r>
        <w:rPr>
          <w:color w:val="231F20"/>
        </w:rPr>
        <w:t>年</w:t>
      </w:r>
      <w:r>
        <w:rPr>
          <w:rFonts w:ascii="Times New Roman" w:hAnsi="Times New Roman" w:eastAsia="Times New Roman" w:cs="Times New Roman"/>
          <w:color w:val="231F20"/>
        </w:rPr>
        <w:t>8</w:t>
      </w:r>
      <w:r>
        <w:rPr>
          <w:rFonts w:ascii="Times New Roman" w:hAnsi="Times New Roman" w:eastAsia="Times New Roman" w:cs="Times New Roman"/>
          <w:color w:val="231F20"/>
          <w:spacing w:val="16"/>
          <w:w w:val="101"/>
        </w:rPr>
        <w:t xml:space="preserve"> </w:t>
      </w:r>
      <w:r>
        <w:rPr>
          <w:color w:val="231F20"/>
          <w:spacing w:val="3"/>
        </w:rPr>
        <w:t>月，英格兰银行发布对</w:t>
      </w:r>
      <w:r>
        <w:rPr>
          <w:rFonts w:ascii="Times New Roman" w:hAnsi="Times New Roman" w:eastAsia="Times New Roman" w:cs="Times New Roman"/>
          <w:color w:val="231F20"/>
          <w:spacing w:val="3"/>
        </w:rPr>
        <w:t>8</w:t>
      </w:r>
      <w:r>
        <w:rPr>
          <w:color w:val="231F20"/>
          <w:spacing w:val="3"/>
        </w:rPr>
        <w:t>家英国大型银行第二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轮可处置性评估结果，评估重点包括银行机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构在危机情景下是否具备充足的财务资源，</w:t>
      </w:r>
      <w:r>
        <w:rPr>
          <w:color w:val="231F20"/>
          <w:spacing w:val="8"/>
        </w:rPr>
        <w:t xml:space="preserve">  </w:t>
      </w:r>
      <w:r>
        <w:rPr>
          <w:color w:val="231F20"/>
          <w:spacing w:val="9"/>
        </w:rPr>
        <w:t>是否能够在处置或重组期间保持关键服务不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中断，以及是否能与监管机构和市场有效沟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通。结果显示，银行机构总体上能在不依赖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公共资金救助的前提下有序退出市场，“大</w:t>
      </w:r>
    </w:p>
    <w:p>
      <w:pPr>
        <w:spacing w:line="234" w:lineRule="auto"/>
        <w:sectPr>
          <w:type w:val="continuous"/>
          <w:pgSz w:w="11906" w:h="16158"/>
          <w:pgMar w:top="1384" w:right="1416" w:bottom="400" w:left="1702" w:header="1061" w:footer="0" w:gutter="0"/>
          <w:cols w:equalWidth="0" w:num="2">
            <w:col w:w="4523" w:space="100"/>
            <w:col w:w="4165" w:space="0"/>
          </w:cols>
        </w:sectPr>
        <w:rPr/>
      </w:pPr>
    </w:p>
    <w:p>
      <w:pPr>
        <w:spacing w:before="172"/>
        <w:rPr/>
      </w:pPr>
      <w:r/>
    </w:p>
    <w:p>
      <w:pPr>
        <w:sectPr>
          <w:headerReference w:type="default" r:id="rId242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11"/>
        <w:spacing w:before="42" w:line="182" w:lineRule="auto"/>
        <w:rPr/>
      </w:pPr>
      <w:bookmarkStart w:name="bookmark56" w:id="50"/>
      <w:bookmarkEnd w:id="50"/>
      <w:r>
        <w:rPr>
          <w:color w:val="231F20"/>
          <w:spacing w:val="-3"/>
        </w:rPr>
        <w:t>而不能倒”风险得到有效缓解。</w:t>
      </w:r>
    </w:p>
    <w:p>
      <w:pPr>
        <w:pStyle w:val="BodyText"/>
        <w:ind w:left="8" w:right="358" w:firstLine="430"/>
        <w:spacing w:before="115" w:line="253" w:lineRule="auto"/>
        <w:jc w:val="both"/>
        <w:rPr/>
      </w:pPr>
      <w:r>
        <w:rPr>
          <w:color w:val="231F20"/>
          <w:spacing w:val="-1"/>
        </w:rPr>
        <w:t>开展宏观审慎管理。</w:t>
      </w:r>
      <w:r>
        <w:rPr>
          <w:rFonts w:ascii="Times New Roman" w:hAnsi="Times New Roman" w:eastAsia="Times New Roman" w:cs="Times New Roman"/>
          <w:color w:val="231F20"/>
          <w:spacing w:val="-1"/>
        </w:rPr>
        <w:t>2024</w:t>
      </w:r>
      <w:r>
        <w:rPr>
          <w:color w:val="231F20"/>
          <w:spacing w:val="-1"/>
        </w:rPr>
        <w:t>年，</w:t>
      </w:r>
      <w:r>
        <w:rPr>
          <w:rFonts w:ascii="Times New Roman" w:hAnsi="Times New Roman" w:eastAsia="Times New Roman" w:cs="Times New Roman"/>
          <w:color w:val="231F20"/>
          <w:spacing w:val="-1"/>
        </w:rPr>
        <w:t>FPC</w:t>
      </w:r>
      <w:r>
        <w:rPr>
          <w:color w:val="231F20"/>
          <w:spacing w:val="-1"/>
        </w:rPr>
        <w:t>密切监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8"/>
        </w:rPr>
        <w:t>测英国宏观经济金融运行和银行体系潜在脆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3"/>
        </w:rPr>
        <w:t>弱性等情况，按季调整</w:t>
      </w:r>
      <w:r>
        <w:rPr>
          <w:rFonts w:ascii="Times New Roman" w:hAnsi="Times New Roman" w:eastAsia="Times New Roman" w:cs="Times New Roman"/>
          <w:color w:val="231F20"/>
        </w:rPr>
        <w:t>CCyB</w:t>
      </w:r>
      <w:r>
        <w:rPr>
          <w:color w:val="231F20"/>
          <w:spacing w:val="3"/>
        </w:rPr>
        <w:t>要求。鉴于英国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8"/>
        </w:rPr>
        <w:t>金融体系整体稳健，银行业资本和流动性水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1"/>
        </w:rPr>
        <w:t>平较为充裕，能有效支持实体经济，  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color w:val="231F20"/>
          <w:spacing w:val="1"/>
        </w:rPr>
        <w:t>年 </w:t>
      </w:r>
      <w:r>
        <w:rPr>
          <w:color w:val="231F20"/>
          <w:spacing w:val="-2"/>
        </w:rPr>
        <w:t>四个季度</w:t>
      </w:r>
      <w:r>
        <w:rPr>
          <w:rFonts w:ascii="Times New Roman" w:hAnsi="Times New Roman" w:eastAsia="Times New Roman" w:cs="Times New Roman"/>
          <w:color w:val="231F20"/>
          <w:spacing w:val="-2"/>
        </w:rPr>
        <w:t>CCyB</w:t>
      </w:r>
      <w:r>
        <w:rPr>
          <w:color w:val="231F20"/>
          <w:spacing w:val="-2"/>
        </w:rPr>
        <w:t>一直维持在</w:t>
      </w:r>
      <w:r>
        <w:rPr>
          <w:rFonts w:ascii="Times New Roman" w:hAnsi="Times New Roman" w:eastAsia="Times New Roman" w:cs="Times New Roman"/>
          <w:color w:val="231F20"/>
          <w:spacing w:val="-2"/>
        </w:rPr>
        <w:t>2%</w:t>
      </w:r>
      <w:r>
        <w:rPr>
          <w:color w:val="231F20"/>
          <w:spacing w:val="-2"/>
        </w:rPr>
        <w:t>水平。</w:t>
      </w:r>
    </w:p>
    <w:p>
      <w:pPr>
        <w:pStyle w:val="BodyText"/>
        <w:ind w:left="485"/>
        <w:spacing w:before="425" w:line="172" w:lineRule="auto"/>
        <w:outlineLvl w:val="0"/>
        <w:rPr>
          <w:sz w:val="28"/>
          <w:szCs w:val="28"/>
        </w:rPr>
      </w:pPr>
      <w:bookmarkStart w:name="bookmark16" w:id="51"/>
      <w:bookmarkEnd w:id="51"/>
      <w:r>
        <w:rPr>
          <w:sz w:val="28"/>
          <w:szCs w:val="28"/>
          <w:color w:val="174B8B"/>
          <w:spacing w:val="-3"/>
        </w:rPr>
        <w:t>三、我国实践</w:t>
      </w:r>
    </w:p>
    <w:p>
      <w:pPr>
        <w:pStyle w:val="BodyText"/>
        <w:ind w:left="4" w:right="358" w:firstLine="427"/>
        <w:spacing w:before="439" w:line="243" w:lineRule="auto"/>
        <w:jc w:val="both"/>
        <w:rPr/>
      </w:pPr>
      <w:r>
        <w:rPr>
          <w:color w:val="231F20"/>
          <w:spacing w:val="23"/>
        </w:rPr>
        <w:t>加快完善宏观审慎与金融稳定法律制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7"/>
        </w:rPr>
        <w:t>度。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7"/>
        </w:rPr>
        <w:t>一是推动金融稳定法立法进程。制定金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融稳定法列入十四届全国人大常委会立法规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划第一类项目和</w:t>
      </w: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年度、</w:t>
      </w:r>
      <w:r>
        <w:rPr>
          <w:color w:val="231F20"/>
          <w:spacing w:val="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5"/>
        </w:rPr>
        <w:t>2025</w:t>
      </w:r>
      <w:r>
        <w:rPr>
          <w:color w:val="231F20"/>
          <w:spacing w:val="5"/>
        </w:rPr>
        <w:t>年度立法工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>作计划。 </w:t>
      </w:r>
      <w:r>
        <w:rPr>
          <w:rFonts w:ascii="Times New Roman" w:hAnsi="Times New Roman" w:eastAsia="Times New Roman" w:cs="Times New Roman"/>
          <w:color w:val="231F20"/>
          <w:spacing w:val="10"/>
        </w:rPr>
        <w:t>2024</w:t>
      </w:r>
      <w:r>
        <w:rPr>
          <w:color w:val="231F20"/>
          <w:spacing w:val="10"/>
        </w:rPr>
        <w:t>年</w:t>
      </w:r>
      <w:r>
        <w:rPr>
          <w:rFonts w:ascii="Times New Roman" w:hAnsi="Times New Roman" w:eastAsia="Times New Roman" w:cs="Times New Roman"/>
          <w:color w:val="231F20"/>
          <w:spacing w:val="10"/>
        </w:rPr>
        <w:t>6</w:t>
      </w:r>
      <w:r>
        <w:rPr>
          <w:color w:val="231F20"/>
          <w:spacing w:val="10"/>
        </w:rPr>
        <w:t>月，十四届全国人大常委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9"/>
        </w:rPr>
        <w:t>会第十次会议对金融稳定法草案进行第二次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审议，并向社会公开征求意见。草案健全金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融风险事前防范、事中化解和事后处置的全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流程制度安排，构建维护金融稳定的长效机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制，守住不发生系统性金融风险底线。人民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银行积极配合全国人大常委会法工委推进金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融稳定法后续审议工作。二是加快推进修订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8"/>
        </w:rPr>
        <w:t>《中国人民银行法》。修订《中国人民银行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9"/>
        </w:rPr>
        <w:t>法》被列入十四届全国人大常委会立法规划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第一类项目，以及全国人大常委会和国务院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2025</w:t>
      </w:r>
      <w:r>
        <w:rPr>
          <w:color w:val="231F20"/>
          <w:spacing w:val="8"/>
        </w:rPr>
        <w:t>年度立法工作计划。修订稿着力完善中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央银行制度，健全货币政策和宏观审慎政策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双支柱调控框架，拓展中国人民银行宏观审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慎和金融稳定功能，实现币值稳定和金融稳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定目标。同时，中国人民银行也在抓紧推进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1"/>
        <w:spacing w:before="38" w:line="249" w:lineRule="auto"/>
        <w:rPr/>
      </w:pPr>
      <w:r>
        <w:rPr>
          <w:color w:val="231F20"/>
          <w:spacing w:val="8"/>
        </w:rPr>
        <w:t>《商业银行法》等修订工作，推动进一步完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-4"/>
        </w:rPr>
        <w:t>善金融法律体系。</w:t>
      </w:r>
    </w:p>
    <w:p>
      <w:pPr>
        <w:pStyle w:val="BodyText"/>
        <w:ind w:firstLine="423"/>
        <w:spacing w:before="9" w:line="249" w:lineRule="auto"/>
        <w:jc w:val="both"/>
        <w:rPr/>
      </w:pPr>
      <w:r>
        <w:rPr>
          <w:color w:val="231F20"/>
          <w:spacing w:val="9"/>
        </w:rPr>
        <w:t>健全我国宏观审慎治理机制。   </w:t>
      </w:r>
      <w:r>
        <w:rPr>
          <w:rFonts w:ascii="Times New Roman" w:hAnsi="Times New Roman" w:eastAsia="Times New Roman" w:cs="Times New Roman"/>
          <w:color w:val="231F20"/>
          <w:spacing w:val="9"/>
        </w:rPr>
        <w:t>2025</w:t>
      </w:r>
      <w:r>
        <w:rPr>
          <w:rFonts w:ascii="Times New Roman" w:hAnsi="Times New Roman" w:eastAsia="Times New Roman" w:cs="Times New Roman"/>
          <w:color w:val="231F20"/>
          <w:spacing w:val="-6"/>
        </w:rPr>
        <w:t xml:space="preserve"> </w:t>
      </w:r>
      <w:r>
        <w:rPr>
          <w:color w:val="231F20"/>
          <w:spacing w:val="9"/>
        </w:rPr>
        <w:t>年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初，中国人民银行整合设立宏观审慎和金融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稳定委员会。委员会作为中国人民银行党委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领导下的议事协调机制，负责加强分析研判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系统性金融风险状况，对涉及宏观审慎管理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和金融稳定的重大事项进行分析研究、沟通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协商和推动落实，探索拓展中央银行宏观审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慎和金融稳定功能，进一步丰富完善宏观审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慎和金融稳定政策工具箱，以不断提高宏观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审慎管理和金融稳定工作的系统化、标准化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水平，形成防范化解系统性金融风险的长效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机制。</w:t>
      </w:r>
    </w:p>
    <w:p>
      <w:pPr>
        <w:pStyle w:val="BodyText"/>
        <w:ind w:firstLine="431"/>
        <w:spacing w:before="14" w:line="242" w:lineRule="auto"/>
        <w:rPr/>
      </w:pPr>
      <w:r>
        <w:rPr>
          <w:color w:val="231F20"/>
          <w:spacing w:val="12"/>
        </w:rPr>
        <w:t>强化金融稳定风险监测评估。   持续完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善判定金融机构风险是否具有系统性影响的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>“定性</w:t>
      </w:r>
      <w:r>
        <w:rPr>
          <w:color w:val="231F20"/>
          <w:spacing w:val="-1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+</w:t>
      </w:r>
      <w:r>
        <w:rPr>
          <w:rFonts w:ascii="Times New Roman" w:hAnsi="Times New Roman" w:eastAsia="Times New Roman" w:cs="Times New Roman"/>
          <w:color w:val="231F20"/>
          <w:spacing w:val="-23"/>
        </w:rPr>
        <w:t xml:space="preserve"> </w:t>
      </w:r>
      <w:r>
        <w:rPr>
          <w:color w:val="231F20"/>
          <w:spacing w:val="11"/>
        </w:rPr>
        <w:t>定量”“主观</w:t>
      </w:r>
      <w:r>
        <w:rPr>
          <w:color w:val="231F20"/>
          <w:spacing w:val="-2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1"/>
        </w:rPr>
        <w:t>+</w:t>
      </w:r>
      <w:r>
        <w:rPr>
          <w:rFonts w:ascii="Times New Roman" w:hAnsi="Times New Roman" w:eastAsia="Times New Roman" w:cs="Times New Roman"/>
          <w:color w:val="231F20"/>
          <w:spacing w:val="-24"/>
        </w:rPr>
        <w:t xml:space="preserve"> </w:t>
      </w:r>
      <w:r>
        <w:rPr>
          <w:color w:val="231F20"/>
          <w:spacing w:val="11"/>
        </w:rPr>
        <w:t>客观”分析框架。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优化央行金融机构评级工作机制，持续完善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评级指标与系统，优化银行风险监测预警体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系。推动建立常态化的硬约束早期纠正工作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机制，切实促进对风险早识别、早预警、早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暴露、早处置。定期开展银行业压力测试，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优化偿付能力、流动性风险压力测试。运用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金融市场压力指数、股票质押融资风险压力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测试、公募基金流动性风险压力测试等工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具，监测资本市场风险及跨市场风险状况。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9"/>
        </w:rPr>
        <w:t>持续强化非银行金融机构及交叉性金融业务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风险监测，加强资管行业监管协调，推动资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管业务转型，探索开展影子银行风险监测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评估。</w:t>
      </w:r>
    </w:p>
    <w:p>
      <w:pPr>
        <w:spacing w:line="242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6" w:space="100"/>
            <w:col w:w="4163" w:space="0"/>
          </w:cols>
        </w:sectPr>
        <w:rPr/>
      </w:pPr>
    </w:p>
    <w:p>
      <w:pPr>
        <w:pStyle w:val="BodyText"/>
        <w:spacing w:line="415" w:lineRule="auto"/>
        <w:rPr/>
      </w:pPr>
      <w:r/>
    </w:p>
    <w:p>
      <w:pPr>
        <w:pStyle w:val="BodyText"/>
        <w:ind w:left="299"/>
        <w:spacing w:before="135" w:line="175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4227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-98879</wp:posOffset>
                </wp:positionV>
                <wp:extent cx="5580380" cy="7881619"/>
                <wp:effectExtent l="0" t="0" r="0" b="0"/>
                <wp:wrapNone/>
                <wp:docPr id="474" name="Rect 474"/>
                <wp:cNvGraphicFramePr/>
                <a:graphic>
                  <a:graphicData uri="http://schemas.microsoft.com/office/word/2010/wordprocessingShape">
                    <wps:wsp>
                      <wps:cNvPr id="474" name="Rect 474"/>
                      <wps:cNvSpPr/>
                      <wps:spPr>
                        <a:xfrm>
                          <a:off x="0" y="-98879"/>
                          <a:ext cx="5580380" cy="7881619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70" style="position:absolute;margin-left:0pt;margin-top:-7.78577pt;mso-position-vertical-relative:text;mso-position-horizontal-relative:text;width:439.4pt;height:620.6pt;z-index:-250974208;" fillcolor="#D4E5F5" filled="true" stroked="false"/>
            </w:pict>
          </mc:Fallback>
        </mc:AlternateContent>
      </w:r>
      <w:bookmarkStart w:name="bookmark29" w:id="52"/>
      <w:bookmarkEnd w:id="52"/>
      <w:r>
        <w:rPr>
          <w:sz w:val="28"/>
          <w:szCs w:val="28"/>
          <w:color w:val="231F20"/>
          <w:spacing w:val="-1"/>
        </w:rPr>
        <w:t>专栏十二    立足宏观审慎管理职能     促进房地产市场平稳健康发展</w:t>
      </w:r>
    </w:p>
    <w:p>
      <w:pPr>
        <w:spacing w:line="324" w:lineRule="exact"/>
        <w:rPr/>
      </w:pPr>
      <w:r/>
    </w:p>
    <w:p>
      <w:pPr>
        <w:spacing w:line="324" w:lineRule="exact"/>
        <w:sectPr>
          <w:headerReference w:type="default" r:id="rId243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6" w:right="355" w:firstLine="428"/>
        <w:spacing w:before="50" w:line="249" w:lineRule="auto"/>
        <w:jc w:val="both"/>
        <w:rPr/>
      </w:pPr>
      <w:r>
        <w:rPr>
          <w:color w:val="231F20"/>
          <w:spacing w:val="2"/>
        </w:rPr>
        <w:t>2024年，中国人民银行认真贯彻落实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党中央、国务院决策部署，立足中央银行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8"/>
        </w:rPr>
        <w:t>宏观审慎职能定位，加大逆周期调节力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度，先后两轮推出力度较大的房地产金融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政策组合，积极支持房地产市场风险化解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和平稳健康发展。</w:t>
      </w:r>
    </w:p>
    <w:p>
      <w:pPr>
        <w:pStyle w:val="BodyText"/>
        <w:ind w:left="289" w:right="354" w:firstLine="429"/>
        <w:spacing w:before="9" w:line="249" w:lineRule="auto"/>
        <w:jc w:val="both"/>
        <w:rPr/>
      </w:pPr>
      <w:r>
        <w:rPr>
          <w:color w:val="231F20"/>
          <w:spacing w:val="13"/>
        </w:rPr>
        <w:t>一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13"/>
        </w:rPr>
        <w:t>是优化新发放房贷首付 比例和利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率政策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3"/>
        </w:rPr>
        <w:t>，更好支持刚性和多样化改善性住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房需求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2"/>
        </w:rPr>
        <w:t>。5月、9月，两次下调并统一全国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层面首套、二套住房贷款最低首付比例至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2"/>
        </w:rPr>
        <w:t>15%，取消全国层面房贷利率政策下限，</w:t>
      </w:r>
      <w:r>
        <w:rPr>
          <w:color w:val="231F20"/>
          <w:spacing w:val="8"/>
        </w:rPr>
        <w:t xml:space="preserve">  </w:t>
      </w:r>
      <w:r>
        <w:rPr>
          <w:color w:val="231F20"/>
          <w:spacing w:val="5"/>
        </w:rPr>
        <w:t>下调公积金贷款利率0.25个百分点。截至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2024年末，除北京、上海、深圳自主采取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差别化安排外，全国其余城市均已将首付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17"/>
        </w:rPr>
        <w:t>比例调整至全国底线、取消利率政策下</w:t>
      </w:r>
      <w:r>
        <w:rPr>
          <w:color w:val="231F20"/>
          <w:spacing w:val="15"/>
          <w:w w:val="102"/>
        </w:rPr>
        <w:t xml:space="preserve"> </w:t>
      </w:r>
      <w:r>
        <w:rPr>
          <w:color w:val="231F20"/>
          <w:spacing w:val="1"/>
        </w:rPr>
        <w:t>限。2024年12月，全国新发放房贷平均利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6"/>
        </w:rPr>
        <w:t>率为3.09%，同比下降88个基点，居民购房</w:t>
      </w:r>
      <w:r>
        <w:rPr>
          <w:color w:val="231F20"/>
          <w:spacing w:val="16"/>
          <w:w w:val="102"/>
        </w:rPr>
        <w:t xml:space="preserve"> </w:t>
      </w:r>
      <w:r>
        <w:rPr>
          <w:color w:val="231F20"/>
          <w:spacing w:val="-4"/>
        </w:rPr>
        <w:t>成本进一步降低。</w:t>
      </w:r>
    </w:p>
    <w:p>
      <w:pPr>
        <w:pStyle w:val="BodyText"/>
        <w:ind w:left="267" w:right="354" w:firstLine="451"/>
        <w:spacing w:before="6" w:line="249" w:lineRule="auto"/>
        <w:jc w:val="both"/>
        <w:rPr/>
      </w:pPr>
      <w:r>
        <w:rPr>
          <w:color w:val="231F20"/>
          <w:spacing w:val="1"/>
        </w:rPr>
        <w:t>二是引导降低存量房贷利率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1"/>
        </w:rPr>
        <w:t>，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1"/>
        </w:rPr>
        <w:t>大幅减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轻居民家庭房贷利息负担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。在2023年降低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存量首套房贷利率基础上，2024年9月</w:t>
      </w:r>
      <w:r>
        <w:rPr>
          <w:color w:val="231F20"/>
          <w:spacing w:val="-3"/>
        </w:rPr>
        <w:t>出台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《关于完善商业性个人住房贷款利率定价 </w:t>
      </w:r>
      <w:r>
        <w:rPr>
          <w:color w:val="231F20"/>
          <w:spacing w:val="6"/>
        </w:rPr>
        <w:t>机制的公告》，再次推动降低存量房贷利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率并建立动态调节长效机制，商业银行积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3"/>
        </w:rPr>
        <w:t>极响应、有序推进，每年可为超过5000万</w:t>
      </w:r>
      <w:r>
        <w:rPr>
          <w:color w:val="231F20"/>
          <w:spacing w:val="11"/>
          <w:w w:val="102"/>
        </w:rPr>
        <w:t xml:space="preserve"> </w:t>
      </w:r>
      <w:r>
        <w:rPr>
          <w:color w:val="231F20"/>
          <w:spacing w:val="-4"/>
        </w:rPr>
        <w:t>户家庭减少利息支出约3000亿元。</w:t>
      </w:r>
    </w:p>
    <w:p>
      <w:pPr>
        <w:pStyle w:val="BodyText"/>
        <w:ind w:left="721"/>
        <w:spacing w:line="229" w:lineRule="exact"/>
        <w:rPr/>
      </w:pPr>
      <w:r>
        <w:rPr>
          <w:color w:val="231F20"/>
          <w:spacing w:val="4"/>
          <w:position w:val="-1"/>
        </w:rPr>
        <w:t>三是保持房地产行业融资平稳有序，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83" w:firstLine="2"/>
        <w:spacing w:before="54" w:line="249" w:lineRule="auto"/>
        <w:rPr/>
      </w:pPr>
      <w:r>
        <w:rPr>
          <w:color w:val="231F20"/>
          <w:spacing w:val="7"/>
        </w:rPr>
        <w:t>加大保交楼金融支持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7"/>
        </w:rPr>
        <w:t>。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7"/>
        </w:rPr>
        <w:t>1月，联合金融监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管总局出台《关于做好经营性物业贷款管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4"/>
        </w:rPr>
        <w:t>理的通知》，优化经营性物业贷款规模、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5"/>
        </w:rPr>
        <w:t>用途等管理要求，充分发挥经营性物业贷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8"/>
        </w:rPr>
        <w:t>款作用，满足行业合理融资需求。9月，</w:t>
      </w:r>
      <w:r>
        <w:rPr>
          <w:color w:val="231F20"/>
          <w:spacing w:val="7"/>
        </w:rPr>
        <w:t xml:space="preserve">  </w:t>
      </w:r>
      <w:r>
        <w:rPr>
          <w:color w:val="231F20"/>
          <w:spacing w:val="18"/>
        </w:rPr>
        <w:t>将经营性物业贷款和《关于做好当前金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8"/>
        </w:rPr>
        <w:t>融支持房地产市场平稳健康发展工作的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4"/>
        </w:rPr>
        <w:t>通知》（“金融16条”）中房企存量融资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展期两项阶段性政策延长至2026年底。引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5"/>
        </w:rPr>
        <w:t>导金融机构充分运用保交楼专项借款等政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策，加大保交楼金融支持。2024年，房地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2"/>
        </w:rPr>
        <w:t>产开发贷款累计新增4000多亿元，同比多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2"/>
        </w:rPr>
        <w:t>增近3000亿元，有力支持了在建项目建设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-6"/>
        </w:rPr>
        <w:t>竣工。</w:t>
      </w:r>
    </w:p>
    <w:p>
      <w:pPr>
        <w:pStyle w:val="BodyText"/>
        <w:ind w:left="3" w:right="282" w:firstLine="435"/>
        <w:spacing w:before="8" w:line="249" w:lineRule="auto"/>
        <w:jc w:val="both"/>
        <w:rPr/>
      </w:pPr>
      <w:r>
        <w:rPr>
          <w:color w:val="231F20"/>
          <w:spacing w:val="13"/>
        </w:rPr>
        <w:t>四是设立保障性住房再贷款 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3"/>
        </w:rPr>
        <w:t>市场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化支持存量商品房去库存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8"/>
        </w:rPr>
        <w:t>。5月，设立保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障性住房再贷款，激励全国性银行发放贷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款，支持地方收购存量商品房用作保障性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住房。6月，组织召开全国保障性住房再贷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款工作推进会，推动政策加快落地。9月，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将央行资金支持比例由60%提高到100%，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进一步增强对银行和收购主体的市场化激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"/>
        </w:rPr>
        <w:t>励。截至2024年末，全国已有近百个城市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发布房源征集公告，30多个城市的150</w:t>
      </w:r>
      <w:r>
        <w:rPr>
          <w:color w:val="231F20"/>
          <w:spacing w:val="-4"/>
        </w:rPr>
        <w:t>多个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收购项目落地。</w:t>
      </w:r>
    </w:p>
    <w:p>
      <w:pPr>
        <w:pStyle w:val="BodyText"/>
        <w:ind w:left="2" w:right="283" w:firstLine="432"/>
        <w:spacing w:before="2" w:line="192" w:lineRule="auto"/>
        <w:rPr/>
      </w:pPr>
      <w:r>
        <w:rPr>
          <w:color w:val="231F20"/>
          <w:spacing w:val="3"/>
        </w:rPr>
        <w:t>五是优化房地产融资政策体系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</w:rPr>
        <w:t>，推动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加快构建房地产发展新模式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。1月，联合金</w:t>
      </w:r>
    </w:p>
    <w:p>
      <w:pPr>
        <w:spacing w:line="192" w:lineRule="auto"/>
        <w:sectPr>
          <w:type w:val="continuous"/>
          <w:pgSz w:w="11906" w:h="16158"/>
          <w:pgMar w:top="1384" w:right="1417" w:bottom="400" w:left="1700" w:header="1061" w:footer="0" w:gutter="0"/>
          <w:cols w:equalWidth="0" w:num="2">
            <w:col w:w="4523" w:space="100"/>
            <w:col w:w="4166" w:space="0"/>
          </w:cols>
        </w:sectPr>
        <w:rPr/>
      </w:pPr>
    </w:p>
    <w:p>
      <w:pPr>
        <w:spacing w:before="336"/>
        <w:rPr/>
      </w:pPr>
      <w:r/>
    </w:p>
    <w:p>
      <w:pPr>
        <w:sectPr>
          <w:headerReference w:type="default" r:id="rId244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95" w:right="355" w:firstLine="7"/>
        <w:spacing w:before="52" w:line="249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5251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-110337</wp:posOffset>
                </wp:positionV>
                <wp:extent cx="5580380" cy="3888740"/>
                <wp:effectExtent l="0" t="0" r="0" b="0"/>
                <wp:wrapNone/>
                <wp:docPr id="478" name="Rect 478"/>
                <wp:cNvGraphicFramePr/>
                <a:graphic>
                  <a:graphicData uri="http://schemas.microsoft.com/office/word/2010/wordprocessingShape">
                    <wps:wsp>
                      <wps:cNvPr id="478" name="Rect 478"/>
                      <wps:cNvSpPr/>
                      <wps:spPr>
                        <a:xfrm>
                          <a:off x="0" y="-110337"/>
                          <a:ext cx="5580380" cy="38887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72" style="position:absolute;margin-left:0pt;margin-top:-8.68799pt;mso-position-vertical-relative:text;mso-position-horizontal-relative:text;width:439.4pt;height:306.2pt;z-index:-250963968;" fillcolor="#D4E5F5" filled="true" stroked="false"/>
            </w:pict>
          </mc:Fallback>
        </mc:AlternateContent>
      </w:r>
      <w:r>
        <w:rPr>
          <w:color w:val="231F20"/>
          <w:spacing w:val="4"/>
        </w:rPr>
        <w:t>融监管总局出台《关于金融支持住房租赁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5"/>
        </w:rPr>
        <w:t>市场发展的意见》，建立健全住房租赁金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融政策体系。指导两家政策性银行用好新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增5000亿元抵押补充贷款（</w:t>
      </w:r>
      <w:r>
        <w:rPr>
          <w:color w:val="231F20"/>
        </w:rPr>
        <w:t>PSL</w:t>
      </w:r>
      <w:r>
        <w:rPr>
          <w:color w:val="231F20"/>
          <w:spacing w:val="3"/>
        </w:rPr>
        <w:t>）额度，</w:t>
      </w:r>
      <w:r>
        <w:rPr>
          <w:color w:val="231F20"/>
          <w:spacing w:val="2"/>
        </w:rPr>
        <w:t xml:space="preserve">  </w:t>
      </w:r>
      <w:r>
        <w:rPr>
          <w:color w:val="231F20"/>
          <w:spacing w:val="5"/>
        </w:rPr>
        <w:t>为保障性住房建设、城中村改造等提供中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长期低成本资金支持。研究完善房地产信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贷基础性制度，加强房地产金融宏观审慎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管理，助力构建房地产发展新模式。</w:t>
      </w:r>
    </w:p>
    <w:p>
      <w:pPr>
        <w:pStyle w:val="BodyText"/>
        <w:ind w:left="295" w:right="351" w:firstLine="420"/>
        <w:spacing w:before="4" w:line="249" w:lineRule="auto"/>
        <w:jc w:val="both"/>
        <w:rPr/>
      </w:pPr>
      <w:r>
        <w:rPr>
          <w:color w:val="231F20"/>
          <w:spacing w:val="7"/>
        </w:rPr>
        <w:t>2024年9月，中央政治局会议明确提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5"/>
        </w:rPr>
        <w:t>出促进房地产市场止跌回稳。除金融政策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外，相关部门出台了住房、土地、财税等</w:t>
      </w:r>
      <w:r>
        <w:rPr>
          <w:color w:val="231F20"/>
        </w:rPr>
        <w:t xml:space="preserve"> </w:t>
      </w:r>
      <w:r>
        <w:rPr>
          <w:color w:val="231F20"/>
          <w:spacing w:val="17"/>
        </w:rPr>
        <w:t>系列政策，地方政府因城施策稳定房地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产市场。在各部门、各地方政策共同带动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下，加上经营主体通过调整经营策略、债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" w:right="284" w:firstLine="1"/>
        <w:spacing w:before="47" w:line="249" w:lineRule="auto"/>
        <w:jc w:val="both"/>
        <w:rPr/>
      </w:pPr>
      <w:r>
        <w:rPr>
          <w:color w:val="231F20"/>
          <w:spacing w:val="5"/>
        </w:rPr>
        <w:t>务重组等方式自我修复，房地产市场活跃 </w:t>
      </w:r>
      <w:r>
        <w:rPr>
          <w:color w:val="231F20"/>
          <w:spacing w:val="5"/>
        </w:rPr>
        <w:t>度边际改善。长期看，中国城镇化仍然处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于发展阶段，未来城镇化水平和质量的持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续提升将为房地产市场长期稳定发展提供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5"/>
        </w:rPr>
        <w:t>有力支撑。</w:t>
      </w:r>
    </w:p>
    <w:p>
      <w:pPr>
        <w:pStyle w:val="BodyText"/>
        <w:ind w:right="284" w:firstLine="439"/>
        <w:spacing w:before="11" w:line="253" w:lineRule="auto"/>
        <w:jc w:val="both"/>
        <w:rPr/>
      </w:pPr>
      <w:r>
        <w:rPr>
          <w:color w:val="231F20"/>
          <w:spacing w:val="5"/>
        </w:rPr>
        <w:t>下一步，中国人民银行将继续认真贯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彻落实党中央、国务院部署，密切关注房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地产市场及金融形势边际变化，抓好保障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性住房再贷款等已出台金融政策落实，加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强房地产金融宏观审慎管理，稳妥有序完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善房地产信贷基础性制度，促进房地产市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场平稳健康发展，助力构建房地产发展新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6"/>
        </w:rPr>
        <w:t>模式。</w:t>
      </w:r>
    </w:p>
    <w:p>
      <w:pPr>
        <w:spacing w:line="253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3" w:space="100"/>
            <w:col w:w="4166" w:space="0"/>
          </w:cols>
        </w:sectPr>
        <w:rPr/>
      </w:pPr>
    </w:p>
    <w:p>
      <w:pPr>
        <w:spacing w:line="197" w:lineRule="exact"/>
        <w:rPr/>
      </w:pPr>
      <w:r/>
    </w:p>
    <w:p>
      <w:pPr>
        <w:spacing w:line="197" w:lineRule="exact"/>
        <w:sectPr>
          <w:type w:val="continuous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5" w:right="355" w:firstLine="428"/>
        <w:spacing w:before="50" w:line="249" w:lineRule="auto"/>
        <w:jc w:val="both"/>
        <w:rPr/>
      </w:pPr>
      <w:r>
        <w:rPr>
          <w:color w:val="231F20"/>
          <w:spacing w:val="23"/>
        </w:rPr>
        <w:t>持续夯实系统重要性金融机构附加监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17"/>
        </w:rPr>
        <w:t>管。 根据《系统重要性银行附加监管规定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8"/>
        </w:rPr>
        <w:t>（试行）》，督促系统重要性银行按时满足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9"/>
        </w:rPr>
        <w:t>附加资本要求和附加杠杆率要求。做深做实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系统重要性银行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年恢复和处置计划审查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工作，发挥对商业银行风险管理的前瞻指引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作用。组织召开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年全球系统重要性银行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1"/>
        </w:rPr>
        <w:t>跨境危机管理小组会议，加强跨境危机管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理与合作，提升系统重要性银行的抗风险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能力。</w:t>
      </w:r>
    </w:p>
    <w:p>
      <w:pPr>
        <w:pStyle w:val="BodyText"/>
        <w:ind w:left="6" w:right="355" w:firstLine="425"/>
        <w:spacing w:before="7" w:line="224" w:lineRule="auto"/>
        <w:jc w:val="both"/>
        <w:rPr/>
      </w:pPr>
      <w:r>
        <w:rPr>
          <w:color w:val="231F20"/>
          <w:spacing w:val="11"/>
        </w:rPr>
        <w:t>加强金融市场基础设施监督管理。</w:t>
      </w:r>
      <w:r>
        <w:rPr>
          <w:color w:val="231F20"/>
          <w:spacing w:val="2"/>
        </w:rPr>
        <w:t xml:space="preserve">    </w:t>
      </w:r>
      <w:r>
        <w:rPr>
          <w:color w:val="231F20"/>
          <w:spacing w:val="11"/>
        </w:rPr>
        <w:t>中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国人民银行、中国证监会发布《金融基础设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施监督管理办法》，加强金融基础设施统筹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监管，建立健全安全高效的金融基础设施体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系。持续推进银行间市场基础设施执法检查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2" w:right="2" w:firstLine="3"/>
        <w:spacing w:before="42" w:line="249" w:lineRule="auto"/>
        <w:jc w:val="both"/>
        <w:rPr/>
      </w:pPr>
      <w:r>
        <w:rPr>
          <w:color w:val="231F20"/>
          <w:spacing w:val="20"/>
        </w:rPr>
        <w:t>工作，对中央结算公司、上海清算所、上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21"/>
        </w:rPr>
        <w:t>海票据交易所、上海黄金交易所开展执法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检查。</w:t>
      </w:r>
    </w:p>
    <w:p>
      <w:pPr>
        <w:pStyle w:val="BodyText"/>
        <w:ind w:left="2" w:firstLine="426"/>
        <w:spacing w:before="7" w:line="249" w:lineRule="auto"/>
        <w:jc w:val="both"/>
        <w:rPr/>
      </w:pPr>
      <w:r>
        <w:rPr>
          <w:color w:val="231F20"/>
          <w:spacing w:val="1"/>
        </w:rPr>
        <w:t>加强跨境资本流动宏观审慎管理。   </w:t>
      </w:r>
      <w:r>
        <w:rPr>
          <w:rFonts w:ascii="Times New Roman" w:hAnsi="Times New Roman" w:eastAsia="Times New Roman" w:cs="Times New Roman"/>
          <w:color w:val="231F20"/>
          <w:spacing w:val="1"/>
        </w:rPr>
        <w:t>2024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9"/>
        </w:rPr>
        <w:t>年以来，受外部环境复杂多变、主要经济体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大选、地缘政治冲突升温等多重因素影响，</w:t>
      </w:r>
      <w:r>
        <w:rPr>
          <w:color w:val="231F20"/>
        </w:rPr>
        <w:t xml:space="preserve">  </w:t>
      </w:r>
      <w:r>
        <w:rPr>
          <w:color w:val="231F20"/>
          <w:spacing w:val="21"/>
        </w:rPr>
        <w:t>跨境资本流动不确定性较高、全年波动较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大。中国人民银行、国家外汇局及时制定政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策应对预案，完善全口径跨境融资宏观审慎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管理，并于</w:t>
      </w:r>
      <w:r>
        <w:rPr>
          <w:rFonts w:ascii="Times New Roman" w:hAnsi="Times New Roman" w:eastAsia="Times New Roman" w:cs="Times New Roman"/>
          <w:color w:val="231F20"/>
          <w:spacing w:val="8"/>
        </w:rPr>
        <w:t>2025</w:t>
      </w:r>
      <w:r>
        <w:rPr>
          <w:color w:val="231F20"/>
          <w:spacing w:val="8"/>
        </w:rPr>
        <w:t>年初上调企业和金融机构跨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境融资宏观审慎调节参数，维护我国跨境资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本流动总体稳定。</w:t>
      </w:r>
    </w:p>
    <w:p>
      <w:pPr>
        <w:pStyle w:val="BodyText"/>
        <w:ind w:firstLine="430"/>
        <w:spacing w:before="2" w:line="208" w:lineRule="auto"/>
        <w:jc w:val="both"/>
        <w:rPr/>
      </w:pPr>
      <w:r>
        <w:rPr>
          <w:color w:val="231F20"/>
          <w:spacing w:val="1"/>
        </w:rPr>
        <w:t>持续深化金融业综合统计。   完善金融总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量统计，优化狭义货币（</w:t>
      </w:r>
      <w:r>
        <w:rPr>
          <w:rFonts w:ascii="Times New Roman" w:hAnsi="Times New Roman" w:eastAsia="Times New Roman" w:cs="Times New Roman"/>
          <w:color w:val="231F20"/>
          <w:spacing w:val="3"/>
        </w:rPr>
        <w:t>M</w:t>
      </w:r>
      <w:r>
        <w:rPr>
          <w:rFonts w:ascii="Times New Roman" w:hAnsi="Times New Roman" w:eastAsia="Times New Roman" w:cs="Times New Roman"/>
          <w:sz w:val="12"/>
          <w:szCs w:val="12"/>
          <w:color w:val="231F20"/>
          <w:spacing w:val="3"/>
          <w:position w:val="-4"/>
        </w:rPr>
        <w:t>1 </w:t>
      </w:r>
      <w:r>
        <w:rPr>
          <w:color w:val="231F20"/>
          <w:spacing w:val="3"/>
        </w:rPr>
        <w:t>）统计口径，自</w:t>
      </w:r>
      <w:r>
        <w:rPr>
          <w:color w:val="231F20"/>
          <w:spacing w:val="2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3"/>
        </w:rPr>
        <w:t>2025</w:t>
      </w:r>
      <w:r>
        <w:rPr>
          <w:color w:val="231F20"/>
          <w:spacing w:val="3"/>
        </w:rPr>
        <w:t>年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月起启用新修订口径。密切监测金融</w:t>
      </w:r>
    </w:p>
    <w:p>
      <w:pPr>
        <w:spacing w:line="208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4" w:space="100"/>
            <w:col w:w="4165" w:space="0"/>
          </w:cols>
        </w:sectPr>
        <w:rPr/>
      </w:pPr>
    </w:p>
    <w:p>
      <w:pPr>
        <w:spacing w:before="155"/>
        <w:rPr/>
      </w:pPr>
      <w:r/>
    </w:p>
    <w:p>
      <w:pPr>
        <w:sectPr>
          <w:headerReference w:type="default" r:id="rId245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3" w:right="357" w:firstLine="9"/>
        <w:spacing w:before="46" w:line="249" w:lineRule="auto"/>
        <w:jc w:val="both"/>
        <w:rPr/>
      </w:pPr>
      <w:r>
        <w:rPr>
          <w:color w:val="231F20"/>
          <w:spacing w:val="8"/>
        </w:rPr>
        <w:t>发展新业态、新变化，持续对资管产品、线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9"/>
        </w:rPr>
        <w:t>上联合消费贷款等专项和创新金融业务开展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统计监测。聚焦转型发展，高质量做好金融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“五篇大文章”相关统计工作，助力提升金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融服务实体经济质效。开展地方政府融资平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17"/>
        <w:spacing w:before="37" w:line="259" w:lineRule="auto"/>
        <w:jc w:val="both"/>
        <w:rPr/>
      </w:pPr>
      <w:r>
        <w:rPr>
          <w:color w:val="231F20"/>
          <w:spacing w:val="8"/>
        </w:rPr>
        <w:t>台统计监测，为防范化解地方政府债务风险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提供统计保障。充分发挥国家金融基础数据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库效能，持续提升大数据挖掘分析质效，对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重点领域风险早监测、早识别。</w:t>
      </w:r>
    </w:p>
    <w:p>
      <w:pPr>
        <w:spacing w:line="259" w:lineRule="auto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6" w:space="100"/>
            <w:col w:w="4163" w:space="0"/>
          </w:cols>
        </w:sectPr>
        <w:rPr/>
      </w:pPr>
    </w:p>
    <w:p>
      <w:pPr>
        <w:pStyle w:val="BodyText"/>
        <w:spacing w:line="260" w:lineRule="auto"/>
        <w:rPr/>
      </w:pPr>
      <w:r/>
    </w:p>
    <w:p>
      <w:pPr>
        <w:pStyle w:val="BodyText"/>
        <w:ind w:left="297" w:right="282" w:firstLine="2"/>
        <w:spacing w:before="135" w:line="171" w:lineRule="auto"/>
        <w:outlineLvl w:val="0"/>
        <w:rPr>
          <w:sz w:val="28"/>
          <w:szCs w:val="2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627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-99809</wp:posOffset>
                </wp:positionV>
                <wp:extent cx="5580380" cy="6518910"/>
                <wp:effectExtent l="0" t="0" r="0" b="0"/>
                <wp:wrapNone/>
                <wp:docPr id="480" name="Rect 480"/>
                <wp:cNvGraphicFramePr/>
                <a:graphic>
                  <a:graphicData uri="http://schemas.microsoft.com/office/word/2010/wordprocessingShape">
                    <wps:wsp>
                      <wps:cNvPr id="480" name="Rect 480"/>
                      <wps:cNvSpPr/>
                      <wps:spPr>
                        <a:xfrm>
                          <a:off x="0" y="-99809"/>
                          <a:ext cx="5580380" cy="651891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74" style="position:absolute;margin-left:0pt;margin-top:-7.85901pt;mso-position-vertical-relative:text;mso-position-horizontal-relative:text;width:439.4pt;height:513.3pt;z-index:-250953728;" fillcolor="#D4E5F5" filled="true" stroked="false"/>
            </w:pict>
          </mc:Fallback>
        </mc:AlternateContent>
      </w:r>
      <w:bookmarkStart w:name="bookmark30" w:id="53"/>
      <w:bookmarkEnd w:id="53"/>
      <w:r>
        <w:rPr>
          <w:sz w:val="28"/>
          <w:szCs w:val="28"/>
          <w:color w:val="231F20"/>
          <w:spacing w:val="2"/>
        </w:rPr>
        <w:t>专栏十三    拓展中央银行宏观审慎与金融稳定功能     维护金融市场</w:t>
      </w:r>
      <w:r>
        <w:rPr>
          <w:sz w:val="28"/>
          <w:szCs w:val="28"/>
          <w:color w:val="231F20"/>
          <w:spacing w:val="7"/>
        </w:rPr>
        <w:t xml:space="preserve"> </w:t>
      </w:r>
      <w:bookmarkStart w:name="bookmark30" w:id="54"/>
      <w:bookmarkEnd w:id="54"/>
      <w:r>
        <w:rPr>
          <w:sz w:val="28"/>
          <w:szCs w:val="28"/>
          <w:color w:val="231F20"/>
          <w:spacing w:val="-3"/>
        </w:rPr>
        <w:t>稳定运行</w:t>
      </w:r>
    </w:p>
    <w:p>
      <w:pPr>
        <w:spacing w:line="323" w:lineRule="exact"/>
        <w:rPr/>
      </w:pPr>
      <w:r/>
    </w:p>
    <w:p>
      <w:pPr>
        <w:spacing w:line="323" w:lineRule="exact"/>
        <w:sectPr>
          <w:type w:val="continuous"/>
          <w:pgSz w:w="11906" w:h="16158"/>
          <w:pgMar w:top="1384" w:right="1416" w:bottom="400" w:left="1700" w:header="1061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286" w:right="355" w:firstLine="405"/>
        <w:spacing w:before="55" w:line="249" w:lineRule="auto"/>
        <w:jc w:val="both"/>
        <w:rPr/>
      </w:pPr>
      <w:r>
        <w:rPr>
          <w:color w:val="231F20"/>
          <w:spacing w:val="7"/>
        </w:rPr>
        <w:t>《中国人民银行法》规定：“中国人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民银行在国务院领导下，制定和执行货币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政策，防范和化解金融风险，维护金融稳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定。”近年来，党中央、国务院对维护金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融市场稳健运行多次作出重要部署。2023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年10月，中央金融工作会议强调，要“维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护金融市场稳健运行，规范金融市场发行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和交易行为，合理引导预期，防范风险跨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区域、跨市场、跨境传递共振”。2024年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4"/>
        </w:rPr>
        <w:t>12月，中央经济工作会议提出，要“探索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拓展中央银行宏观审慎与金融稳定功能，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-2"/>
        </w:rPr>
        <w:t>创新金融工具，维护金融市场稳定”。</w:t>
      </w:r>
    </w:p>
    <w:p>
      <w:pPr>
        <w:pStyle w:val="BodyText"/>
        <w:ind w:left="288" w:right="355" w:firstLine="430"/>
        <w:spacing w:before="3" w:line="250" w:lineRule="auto"/>
        <w:jc w:val="both"/>
        <w:rPr/>
      </w:pPr>
      <w:r>
        <w:rPr>
          <w:color w:val="231F20"/>
          <w:spacing w:val="5"/>
        </w:rPr>
        <w:t>近年来，中国人民银行坚决贯彻落实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5"/>
        </w:rPr>
        <w:t>党中央、国务院决策部署，依法监测金融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市场的运行情况，持续通过货币政策和宏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观审慎政策双支柱调控框架，对金融市场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实施宏观调控，构建金融市场稳定器，促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</w:rPr>
        <w:t>进其协调稳定发展。</w:t>
      </w:r>
    </w:p>
    <w:p>
      <w:pPr>
        <w:pStyle w:val="BodyText"/>
        <w:ind w:left="721"/>
        <w:spacing w:before="1" w:line="172" w:lineRule="auto"/>
        <w:rPr/>
      </w:pPr>
      <w:r>
        <w:rPr>
          <w:color w:val="231F20"/>
          <w:spacing w:val="-5"/>
        </w:rPr>
        <w:t>一、外汇市场</w:t>
      </w:r>
    </w:p>
    <w:p>
      <w:pPr>
        <w:pStyle w:val="BodyText"/>
        <w:ind w:left="299" w:right="355" w:firstLine="415"/>
        <w:spacing w:before="119" w:line="193" w:lineRule="auto"/>
        <w:rPr/>
      </w:pPr>
      <w:r>
        <w:rPr>
          <w:color w:val="231F20"/>
          <w:spacing w:val="20"/>
        </w:rPr>
        <w:t>在错综复杂的形势下有效维护外汇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"/>
        </w:rPr>
        <w:t>市场稳健运行。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2"/>
        </w:rPr>
        <w:t>一是完善外汇市场“宏观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179" w:firstLine="21"/>
        <w:spacing w:before="59" w:line="249" w:lineRule="auto"/>
        <w:jc w:val="both"/>
        <w:rPr/>
      </w:pPr>
      <w:r>
        <w:rPr>
          <w:color w:val="231F20"/>
          <w:spacing w:val="9"/>
        </w:rPr>
        <w:t>审慎+微观监管”两位一体管理框架。宏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观审慎方面，健全跨境资本流动监测、预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警和响应机制。保持人民币汇率弹性，发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挥汇率调节国际收支自动稳定器功能。根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据形势变化实施调节跨境融资宏观审慎参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数等逆周期措施，持续加强外汇形势解读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和市场预期引导，及时纠偏市场顺周期行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为，维护外汇市场基本稳定。微观监管方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11"/>
        </w:rPr>
        <w:t>面，落实监管“长牙带刺”“有棱有角”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5"/>
        </w:rPr>
        <w:t>要求，充分运用监管科技，强化外汇领域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监管全覆盖，严厉打击各类外汇违法违规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活动，维护外汇市场良性秩序。二是深化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外汇市场改革开放与规范发展。完善外汇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市场交易、清算服务，支持中国外汇交易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18"/>
        </w:rPr>
        <w:t>中心为自贸区人民币外汇交易提供交易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>设施服务，支持上海清算所拓展人民币外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18"/>
        </w:rPr>
        <w:t>汇中央对手清算期限。加强银行间外汇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>市场监管，持续开展外汇市场交易行为评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估，指导外汇市场自律机制加强报价规范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-6"/>
        </w:rPr>
        <w:t>管理。</w:t>
      </w:r>
    </w:p>
    <w:p>
      <w:pPr>
        <w:pStyle w:val="BodyText"/>
        <w:ind w:left="432"/>
        <w:spacing w:line="228" w:lineRule="exact"/>
        <w:rPr/>
      </w:pPr>
      <w:r>
        <w:rPr>
          <w:color w:val="231F20"/>
          <w:spacing w:val="5"/>
          <w:position w:val="-1"/>
        </w:rPr>
        <w:t>近年来，我国成功应对了外汇市场多</w:t>
      </w:r>
    </w:p>
    <w:p>
      <w:pPr>
        <w:spacing w:line="228" w:lineRule="exact"/>
        <w:sectPr>
          <w:type w:val="continuous"/>
          <w:pgSz w:w="11906" w:h="16158"/>
          <w:pgMar w:top="1384" w:right="1416" w:bottom="400" w:left="1700" w:header="1061" w:footer="0" w:gutter="0"/>
          <w:cols w:equalWidth="0" w:num="2">
            <w:col w:w="4523" w:space="100"/>
            <w:col w:w="4166" w:space="0"/>
          </w:cols>
        </w:sectPr>
        <w:rPr/>
      </w:pPr>
    </w:p>
    <w:p>
      <w:pPr>
        <w:spacing w:before="336"/>
        <w:rPr/>
      </w:pPr>
      <w:r/>
    </w:p>
    <w:p>
      <w:pPr>
        <w:sectPr>
          <w:headerReference w:type="default" r:id="rId246"/>
          <w:pgSz w:w="11906" w:h="16158"/>
          <w:pgMar w:top="1367" w:right="1700" w:bottom="400" w:left="1417" w:header="1044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6" w:right="353"/>
        <w:spacing w:before="40" w:line="250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7299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-117710</wp:posOffset>
                </wp:positionV>
                <wp:extent cx="5580380" cy="7889240"/>
                <wp:effectExtent l="0" t="0" r="0" b="0"/>
                <wp:wrapNone/>
                <wp:docPr id="484" name="Rect 484"/>
                <wp:cNvGraphicFramePr/>
                <a:graphic>
                  <a:graphicData uri="http://schemas.microsoft.com/office/word/2010/wordprocessingShape">
                    <wps:wsp>
                      <wps:cNvPr id="484" name="Rect 484"/>
                      <wps:cNvSpPr/>
                      <wps:spPr>
                        <a:xfrm>
                          <a:off x="0" y="-117710"/>
                          <a:ext cx="5580380" cy="78892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76" style="position:absolute;margin-left:0pt;margin-top:-9.26856pt;mso-position-vertical-relative:text;mso-position-horizontal-relative:text;width:439.4pt;height:621.2pt;z-index:-250943488;" fillcolor="#D4E5F5" filled="true" stroked="false"/>
            </w:pict>
          </mc:Fallback>
        </mc:AlternateContent>
      </w:r>
      <w:r>
        <w:rPr>
          <w:color w:val="231F20"/>
          <w:spacing w:val="5"/>
        </w:rPr>
        <w:t>轮高强度外部冲击，包括第一轮中美经贸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摩擦、新冠疫情暴发、全球通胀和发达经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济体货币政策收紧等冲击考验，人民币在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全球主要货币中表现较为稳健。经过多年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发展，中国外汇市场更具韧性，市场参与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者更加成熟，交易行为更加理性，应对外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部冲击的能力不断提高。企业积极运用外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汇衍生品管理汇率风险，并使用更多跨境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2"/>
        </w:rPr>
        <w:t>人民币结算降低货币错配风险，2024年，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4"/>
        </w:rPr>
        <w:t>企业外汇套期保值比例达27%，货物贸易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3"/>
        </w:rPr>
        <w:t>人民币跨境收支占比约30%。总体来看，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5"/>
        </w:rPr>
        <w:t>我国经济长期向好的基本面没有改变，高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水平对外开放持续推进，为人民币汇率继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续在合理均衡水平上保持基本稳定提供坚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5"/>
        </w:rPr>
        <w:t>实的基础。</w:t>
      </w:r>
    </w:p>
    <w:p>
      <w:pPr>
        <w:pStyle w:val="BodyText"/>
        <w:ind w:left="721"/>
        <w:spacing w:line="173" w:lineRule="auto"/>
        <w:rPr/>
      </w:pPr>
      <w:r>
        <w:rPr>
          <w:color w:val="231F20"/>
          <w:spacing w:val="-2"/>
        </w:rPr>
        <w:t>二、债券市场</w:t>
      </w:r>
    </w:p>
    <w:p>
      <w:pPr>
        <w:pStyle w:val="BodyText"/>
        <w:ind w:left="285" w:right="349" w:firstLine="433"/>
        <w:spacing w:before="114" w:line="241" w:lineRule="auto"/>
        <w:jc w:val="both"/>
        <w:rPr/>
      </w:pPr>
      <w:r>
        <w:rPr>
          <w:color w:val="231F20"/>
          <w:spacing w:val="3"/>
        </w:rPr>
        <w:t>一是开展国债买卖操作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3"/>
        </w:rPr>
        <w:t>，丰富基础货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币投放渠道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1"/>
        </w:rPr>
        <w:t>。2023年中央金融工作会议提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出，“要充实货币政策工具箱，在央行公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2"/>
        </w:rPr>
        <w:t>开市场操作中逐步增加国债买卖”。2024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10"/>
        </w:rPr>
        <w:t>年8月起，中国人民银行开展国债买卖操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18"/>
        </w:rPr>
        <w:t>作，并定位于基础货币和流动性管理工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"/>
        </w:rPr>
        <w:t>具，有买有卖、双向开展。2024年中国人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10"/>
        </w:rPr>
        <w:t>民银行累计净买入国债1万亿元，与其他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5"/>
        </w:rPr>
        <w:t>工具综合搭配，保持流动性合理充裕。此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外，2024年10月中国人民银行启用买断式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逆回购操作，期限不超过1年，有效盘活债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券抵押品，增加可交易债券规模，进一步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提高流动性管理的精准性。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3" w:right="283" w:firstLine="431"/>
        <w:spacing w:before="33" w:line="250" w:lineRule="auto"/>
        <w:jc w:val="both"/>
        <w:rPr/>
      </w:pPr>
      <w:r>
        <w:rPr>
          <w:color w:val="231F20"/>
          <w:spacing w:val="13"/>
        </w:rPr>
        <w:t>二是强化债券市场风险提示 ，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13"/>
        </w:rPr>
        <w:t>严格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市场交易行为监管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1"/>
        </w:rPr>
        <w:t>。2024年，在多重因素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影响下，我国国债收益率单边较快下行，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18"/>
        </w:rPr>
        <w:t>对应国债价格持续走高，累积资产泡沫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风险。市场投资交易活跃度上升，部分机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构短期内集中配置长期限债券，拉长久期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行为明显，其中一部分是风险管理能力较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弱或交易策略激进的中小机构。在此背景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下，中国人民银行多次就长期国债收益率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与市场加强沟通，提示市场防范长期国债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收益率单边下行潜藏的系统性风险，遏制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8"/>
        </w:rPr>
        <w:t>债券市场“羊群效应”。同时，对金融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5"/>
        </w:rPr>
        <w:t>机构持有债券资产的风险敞口开展压力测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试，评估市场波动对资产负债表和流动性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的冲击，向部分金融机构提示过度依赖长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债投资可能导致估值损失和流动性危机的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风险。此外，对于部分中小金融机构在国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债交易中存在出借债券账户、利益输送等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违规情形，银行间市场交易商协会多次启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动自律调查，并将部分严重违规线索移送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中国人民银行实施行政处罚。</w:t>
      </w:r>
    </w:p>
    <w:p>
      <w:pPr>
        <w:pStyle w:val="BodyText"/>
        <w:ind w:left="440"/>
        <w:spacing w:line="172" w:lineRule="auto"/>
        <w:rPr/>
      </w:pPr>
      <w:r>
        <w:rPr>
          <w:color w:val="231F20"/>
          <w:spacing w:val="-3"/>
        </w:rPr>
        <w:t>三、股票市场</w:t>
      </w:r>
    </w:p>
    <w:p>
      <w:pPr>
        <w:pStyle w:val="BodyText"/>
        <w:ind w:right="283" w:firstLine="429"/>
        <w:spacing w:before="124" w:line="233" w:lineRule="auto"/>
        <w:jc w:val="both"/>
        <w:rPr/>
      </w:pPr>
      <w:r>
        <w:rPr>
          <w:color w:val="231F20"/>
          <w:spacing w:val="6"/>
        </w:rPr>
        <w:t>按照2024年9月26日中央政治局会议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5"/>
        </w:rPr>
        <w:t>“更好发挥证券基金机构稳市作用，压实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16"/>
        </w:rPr>
        <w:t>上市公司市值管理主体责任”的要求，</w:t>
      </w:r>
      <w:r>
        <w:rPr>
          <w:color w:val="231F20"/>
          <w:spacing w:val="2"/>
        </w:rPr>
        <w:t xml:space="preserve">  </w:t>
      </w:r>
      <w:r>
        <w:rPr>
          <w:color w:val="231F20"/>
          <w:spacing w:val="2"/>
        </w:rPr>
        <w:t>2024年第四季度，中国人民银行会同金融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5"/>
        </w:rPr>
        <w:t>监管总局、中国证监会等有关部门创设了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证券、基金、保险公司互换便利和股票回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购增持再贷款两项资本市场支持工具（以</w:t>
      </w:r>
    </w:p>
    <w:p>
      <w:pPr>
        <w:spacing w:line="233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1" w:space="100"/>
            <w:col w:w="4167" w:space="0"/>
          </w:cols>
        </w:sectPr>
        <w:rPr/>
      </w:pPr>
    </w:p>
    <w:p>
      <w:pPr>
        <w:spacing w:before="319"/>
        <w:rPr/>
      </w:pPr>
      <w:r/>
    </w:p>
    <w:p>
      <w:pPr>
        <w:sectPr>
          <w:headerReference w:type="default" r:id="rId247"/>
          <w:pgSz w:w="11906" w:h="16158"/>
          <w:pgMar w:top="1384" w:right="1417" w:bottom="400" w:left="1700" w:header="1061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285" w:right="353" w:firstLine="14"/>
        <w:spacing w:before="48" w:line="249" w:lineRule="auto"/>
        <w:jc w:val="both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38323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-112903</wp:posOffset>
                </wp:positionV>
                <wp:extent cx="5580380" cy="7889240"/>
                <wp:effectExtent l="0" t="0" r="0" b="0"/>
                <wp:wrapNone/>
                <wp:docPr id="486" name="Rect 486"/>
                <wp:cNvGraphicFramePr/>
                <a:graphic>
                  <a:graphicData uri="http://schemas.microsoft.com/office/word/2010/wordprocessingShape">
                    <wps:wsp>
                      <wps:cNvPr id="486" name="Rect 486"/>
                      <wps:cNvSpPr/>
                      <wps:spPr>
                        <a:xfrm>
                          <a:off x="0" y="-112903"/>
                          <a:ext cx="5580380" cy="7889240"/>
                        </a:xfrm>
                        <a:prstGeom prst="rect">
                          <a:avLst/>
                        </a:prstGeom>
                        <a:solidFill>
                          <a:srgbClr val="D4E5F5"/>
                        </a:solidFill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78" style="position:absolute;margin-left:0pt;margin-top:-8.89001pt;mso-position-vertical-relative:text;mso-position-horizontal-relative:text;width:439.4pt;height:621.2pt;z-index:-250933248;" fillcolor="#D4E5F5" filled="true" stroked="false"/>
            </w:pict>
          </mc:Fallback>
        </mc:AlternateContent>
      </w:r>
      <w:r>
        <w:rPr>
          <w:color w:val="231F20"/>
          <w:spacing w:val="2"/>
        </w:rPr>
        <w:t>下简称两项工具）。两项工具落地以来，</w:t>
      </w:r>
      <w:r>
        <w:rPr>
          <w:color w:val="231F20"/>
          <w:spacing w:val="7"/>
        </w:rPr>
        <w:t xml:space="preserve">  </w:t>
      </w:r>
      <w:r>
        <w:rPr>
          <w:color w:val="231F20"/>
          <w:spacing w:val="5"/>
        </w:rPr>
        <w:t>推动了资本市场内在稳定机制建设，有效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提振了海内外对中国资本市场的信心。</w:t>
      </w:r>
    </w:p>
    <w:p>
      <w:pPr>
        <w:pStyle w:val="BodyText"/>
        <w:ind w:left="286" w:right="344" w:firstLine="443"/>
        <w:spacing w:before="9" w:line="249" w:lineRule="auto"/>
        <w:rPr/>
      </w:pPr>
      <w:r>
        <w:rPr>
          <w:color w:val="231F20"/>
          <w:spacing w:val="3"/>
        </w:rPr>
        <w:t>两项工具完全按照市场化原则设计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3"/>
        </w:rPr>
        <w:t>，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为非银机构参与股票市场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4"/>
        </w:rPr>
        <w:t>、上市公司进行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市值管理提供了重要支持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2"/>
        </w:rPr>
        <w:t>。证券、基金、</w:t>
      </w:r>
      <w:r>
        <w:rPr>
          <w:color w:val="231F20"/>
        </w:rPr>
        <w:t xml:space="preserve">  </w:t>
      </w:r>
      <w:r>
        <w:rPr>
          <w:color w:val="231F20"/>
          <w:spacing w:val="6"/>
        </w:rPr>
        <w:t>保险公司互换便利（以下简称互换便利）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增强参与主体的资金获取能力，股票回购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增持再贷款激励引导金融机构向上市公司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和主要股东发放股票回购增持贷款，两项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5"/>
        </w:rPr>
        <w:t>工具由市场参与主体自主决策购买股票的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时机和规模。截至2025年4月末，互换便利</w:t>
      </w:r>
      <w:r>
        <w:rPr>
          <w:color w:val="231F20"/>
        </w:rPr>
        <w:t xml:space="preserve"> </w:t>
      </w:r>
      <w:r>
        <w:rPr>
          <w:color w:val="231F20"/>
        </w:rPr>
        <w:t>已开展2次操作、总金额1050亿元；超500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3"/>
        </w:rPr>
        <w:t>家上市公司公告使用贷款回购增持股票，</w:t>
      </w:r>
      <w:r>
        <w:rPr>
          <w:color w:val="231F20"/>
          <w:spacing w:val="5"/>
        </w:rPr>
        <w:t xml:space="preserve">  </w:t>
      </w:r>
      <w:r>
        <w:rPr>
          <w:color w:val="231F20"/>
          <w:spacing w:val="-7"/>
        </w:rPr>
        <w:t>贷款总金额近3000亿元。</w:t>
      </w:r>
    </w:p>
    <w:p>
      <w:pPr>
        <w:pStyle w:val="BodyText"/>
        <w:ind w:left="286" w:right="249" w:firstLine="443"/>
        <w:spacing w:before="8" w:line="249" w:lineRule="auto"/>
        <w:jc w:val="both"/>
        <w:rPr/>
      </w:pPr>
      <w:r>
        <w:rPr>
          <w:color w:val="231F20"/>
          <w:spacing w:val="2"/>
        </w:rPr>
        <w:t>两项工具内嵌了逆周期调节属性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2"/>
        </w:rPr>
        <w:t>，主</w:t>
      </w:r>
      <w:r>
        <w:rPr>
          <w:color w:val="231F20"/>
        </w:rPr>
        <w:t xml:space="preserve">   </w:t>
      </w:r>
      <w:r>
        <w:rPr>
          <w:color w:val="231F20"/>
          <w:spacing w:val="3"/>
        </w:rPr>
        <w:t>要发挥托底作用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3"/>
        </w:rPr>
        <w:t>。其作用逻辑和机理是在</w:t>
      </w:r>
      <w:r>
        <w:rPr>
          <w:color w:val="231F20"/>
        </w:rPr>
        <w:t xml:space="preserve">   </w:t>
      </w:r>
      <w:r>
        <w:rPr>
          <w:color w:val="231F20"/>
          <w:spacing w:val="5"/>
        </w:rPr>
        <w:t>资本市场被明显低估时，非银机构、上市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公司会有更强意愿使用两项工具提供的低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成本资金去购买股票，从而阻断市场走弱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-1"/>
        </w:rPr>
        <w:t>的负向循环。例如，2024年11月、2025年</w:t>
      </w:r>
      <w:r>
        <w:rPr>
          <w:color w:val="231F20"/>
          <w:spacing w:val="2"/>
        </w:rPr>
        <w:t xml:space="preserve">   </w:t>
      </w:r>
      <w:r>
        <w:rPr>
          <w:color w:val="231F20"/>
          <w:spacing w:val="16"/>
        </w:rPr>
        <w:t>元旦前后及4月初美国发布“对等关税”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政策带来冲击时，互换便利使用量明显增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加，上市公司回购增持也比较活跃，起到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5"/>
        </w:rPr>
        <w:t>了提振投资者信心、改善金融市场预期的</w:t>
      </w:r>
      <w:r>
        <w:rPr>
          <w:color w:val="231F20"/>
          <w:spacing w:val="3"/>
        </w:rPr>
        <w:t xml:space="preserve">   </w:t>
      </w:r>
      <w:r>
        <w:rPr>
          <w:color w:val="231F20"/>
          <w:spacing w:val="-7"/>
        </w:rPr>
        <w:t>作用。</w:t>
      </w:r>
    </w:p>
    <w:p>
      <w:pPr>
        <w:pStyle w:val="BodyText"/>
        <w:ind w:left="288" w:right="349" w:firstLine="426"/>
        <w:spacing w:before="3" w:line="211" w:lineRule="auto"/>
        <w:jc w:val="both"/>
        <w:rPr/>
      </w:pPr>
      <w:r>
        <w:rPr>
          <w:color w:val="231F20"/>
          <w:spacing w:val="3"/>
        </w:rPr>
        <w:t>在政策实施过程 中 ， 中 国人 民银行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2"/>
        </w:rPr>
        <w:t>会同金融监管总局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2"/>
        </w:rPr>
        <w:t>、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2"/>
        </w:rPr>
        <w:t>中国证监会不断总结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实践经验 ，优化两项工具的政策要素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1"/>
        </w:rPr>
        <w:t>，提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" w:right="279" w:firstLine="20"/>
        <w:spacing w:before="56" w:line="249" w:lineRule="auto"/>
        <w:jc w:val="both"/>
        <w:rPr/>
      </w:pPr>
      <w:r>
        <w:rPr>
          <w:color w:val="231F20"/>
          <w:spacing w:val="-3"/>
        </w:rPr>
        <w:t>高政策的实施效率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。一是2025年5月7日，</w:t>
      </w:r>
      <w:r>
        <w:rPr>
          <w:color w:val="231F20"/>
        </w:rPr>
        <w:t xml:space="preserve">  </w:t>
      </w:r>
      <w:r>
        <w:rPr>
          <w:color w:val="231F20"/>
          <w:spacing w:val="2"/>
        </w:rPr>
        <w:t>将两项工具总额度8000亿元合并使用，提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5"/>
        </w:rPr>
        <w:t>升工具便利性、灵活性，更好满足不同类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型机构的需求。二是在互换便利方面，中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国证监会将参与机构范围由首批20家扩大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3"/>
        </w:rPr>
        <w:t>到40家，质押品范围纳入了港股、限售股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5"/>
        </w:rPr>
        <w:t>等，并指导金融基础设施降低业务收费标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准。三是在股票回购增持再贷款方面，将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3"/>
        </w:rPr>
        <w:t>贷款最长期限由1年延长到3年，鼓励银行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5"/>
        </w:rPr>
        <w:t>发放信用贷款，将上市公司回购增持股票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</w:rPr>
        <w:t>的自有资金比例要求从30%下调到10%。同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时，将中国诚通控股集团有限公司和中国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国新控股有限公司等国有资本运营平台纳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5"/>
        </w:rPr>
        <w:t>入到支持范围，2025年4月，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两家公司宣布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拟使用工具资金合计1800亿元，用于增持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上市公司股票。</w:t>
      </w:r>
    </w:p>
    <w:p>
      <w:pPr>
        <w:pStyle w:val="BodyText"/>
        <w:ind w:left="16" w:right="282" w:firstLine="418"/>
        <w:spacing w:before="4" w:line="249" w:lineRule="auto"/>
        <w:jc w:val="both"/>
        <w:rPr/>
      </w:pPr>
      <w:r>
        <w:rPr>
          <w:color w:val="231F20"/>
          <w:spacing w:val="-4"/>
        </w:rPr>
        <w:t>此外，2025年4月，中国人民银行宣布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坚定支持中央汇金公司加大力度增持股票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市场指数基金，并在必要时向中央汇金公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司提供充足的再贷款支持，坚决维护资本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5"/>
        </w:rPr>
        <w:t>市场平稳运行。</w:t>
      </w:r>
    </w:p>
    <w:p>
      <w:pPr>
        <w:pStyle w:val="BodyText"/>
        <w:ind w:right="283" w:firstLine="442"/>
        <w:spacing w:before="5" w:line="254" w:lineRule="auto"/>
        <w:jc w:val="both"/>
        <w:rPr/>
      </w:pPr>
      <w:r>
        <w:rPr>
          <w:color w:val="231F20"/>
          <w:spacing w:val="5"/>
        </w:rPr>
        <w:t>下一步，中国人民银行将坚决贯彻落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实党中央、国务院决策部署，持续用好和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优化现有各项工具设计和制度安排，探索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3"/>
        </w:rPr>
        <w:t>拓展中央银行宏观审慎与金融稳定功能，</w:t>
      </w:r>
      <w:r>
        <w:rPr>
          <w:color w:val="231F20"/>
          <w:spacing w:val="7"/>
        </w:rPr>
        <w:t xml:space="preserve">  </w:t>
      </w:r>
      <w:r>
        <w:rPr>
          <w:color w:val="231F20"/>
          <w:spacing w:val="5"/>
        </w:rPr>
        <w:t>创新金融工具，进一步丰富维护金融市场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5"/>
        </w:rPr>
        <w:t>稳定的政策工具储备，维护金融市场稳健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-6"/>
        </w:rPr>
        <w:t>运行。</w:t>
      </w:r>
    </w:p>
    <w:p>
      <w:pPr>
        <w:spacing w:line="254" w:lineRule="auto"/>
        <w:sectPr>
          <w:type w:val="continuous"/>
          <w:pgSz w:w="11906" w:h="16158"/>
          <w:pgMar w:top="1384" w:right="1417" w:bottom="400" w:left="1700" w:header="1061" w:footer="0" w:gutter="0"/>
          <w:cols w:equalWidth="0" w:num="2">
            <w:col w:w="4521" w:space="100"/>
            <w:col w:w="4167" w:space="0"/>
          </w:cols>
        </w:sectPr>
        <w:rPr/>
      </w:pPr>
    </w:p>
    <w:p>
      <w:pPr>
        <w:pStyle w:val="BodyText"/>
        <w:spacing w:line="351" w:lineRule="auto"/>
        <w:rPr/>
      </w:pPr>
      <w:r/>
    </w:p>
    <w:p>
      <w:pPr>
        <w:pStyle w:val="BodyText"/>
        <w:spacing w:line="351" w:lineRule="auto"/>
        <w:rPr/>
      </w:pPr>
      <w:r/>
    </w:p>
    <w:p>
      <w:pPr>
        <w:pStyle w:val="BodyText"/>
        <w:ind w:left="1688"/>
        <w:spacing w:before="164" w:line="200" w:lineRule="auto"/>
        <w:outlineLvl w:val="0"/>
        <w:rPr>
          <w:sz w:val="34"/>
          <w:szCs w:val="34"/>
        </w:rPr>
      </w:pPr>
      <w:bookmarkStart w:name="bookmark57" w:id="55"/>
      <w:bookmarkEnd w:id="55"/>
      <w:bookmarkStart w:name="bookmark31" w:id="56"/>
      <w:bookmarkEnd w:id="56"/>
      <w:r>
        <w:rPr>
          <w:sz w:val="34"/>
          <w:szCs w:val="34"/>
          <w:color w:val="174B8B"/>
          <w:spacing w:val="-3"/>
        </w:rPr>
        <w:t>专题一</w:t>
      </w:r>
      <w:r>
        <w:rPr>
          <w:sz w:val="34"/>
          <w:szCs w:val="34"/>
          <w:color w:val="174B8B"/>
          <w:spacing w:val="16"/>
        </w:rPr>
        <w:t xml:space="preserve">    </w:t>
      </w:r>
      <w:r>
        <w:rPr>
          <w:sz w:val="34"/>
          <w:szCs w:val="34"/>
          <w:color w:val="174B8B"/>
          <w:spacing w:val="-3"/>
        </w:rPr>
        <w:t>央行金融机构评级结果分析</w:t>
      </w:r>
    </w:p>
    <w:p>
      <w:pPr>
        <w:spacing w:before="388"/>
        <w:rPr/>
      </w:pPr>
      <w:r/>
    </w:p>
    <w:p>
      <w:pPr>
        <w:sectPr>
          <w:headerReference w:type="default" r:id="rId248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6" w:right="358" w:firstLine="423"/>
        <w:spacing w:before="40" w:line="258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-2"/>
        </w:rPr>
        <w:t>2025</w:t>
      </w:r>
      <w:r>
        <w:rPr>
          <w:color w:val="231F20"/>
          <w:spacing w:val="-2"/>
        </w:rPr>
        <w:t>年上半年，中国人民银行对</w:t>
      </w:r>
      <w:r>
        <w:rPr>
          <w:rFonts w:ascii="Times New Roman" w:hAnsi="Times New Roman" w:eastAsia="Times New Roman" w:cs="Times New Roman"/>
          <w:color w:val="231F20"/>
          <w:spacing w:val="-2"/>
        </w:rPr>
        <w:t>3529</w:t>
      </w:r>
      <w:r>
        <w:rPr>
          <w:color w:val="231F20"/>
          <w:spacing w:val="-3"/>
        </w:rPr>
        <w:t>家银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行机构开展央行金融机构评级（以下简称央行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评级）。从评级结果来看，我国银行机构整体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>经营稳健，金融风险整体收敛、总体可控。</w:t>
      </w:r>
    </w:p>
    <w:p>
      <w:pPr>
        <w:pStyle w:val="BodyText"/>
        <w:ind w:left="8" w:right="358" w:firstLine="473"/>
        <w:spacing w:before="370" w:line="186" w:lineRule="auto"/>
        <w:rPr>
          <w:sz w:val="28"/>
          <w:szCs w:val="28"/>
        </w:rPr>
      </w:pPr>
      <w:r>
        <w:rPr>
          <w:sz w:val="28"/>
          <w:szCs w:val="28"/>
          <w:color w:val="174B8B"/>
        </w:rPr>
        <w:t>一</w:t>
      </w:r>
      <w:r>
        <w:rPr>
          <w:sz w:val="28"/>
          <w:szCs w:val="28"/>
          <w:color w:val="174B8B"/>
          <w:spacing w:val="-19"/>
        </w:rPr>
        <w:t xml:space="preserve"> </w:t>
      </w:r>
      <w:r>
        <w:rPr>
          <w:sz w:val="28"/>
          <w:szCs w:val="28"/>
          <w:color w:val="174B8B"/>
        </w:rPr>
        <w:t>、</w:t>
      </w:r>
      <w:r>
        <w:rPr>
          <w:rFonts w:ascii="Times New Roman" w:hAnsi="Times New Roman" w:eastAsia="Times New Roman" w:cs="Times New Roman"/>
          <w:sz w:val="28"/>
          <w:szCs w:val="28"/>
          <w:b/>
          <w:bCs/>
          <w:color w:val="174B8B"/>
        </w:rPr>
        <w:t>2025</w:t>
      </w:r>
      <w:r>
        <w:rPr>
          <w:sz w:val="28"/>
          <w:szCs w:val="28"/>
          <w:color w:val="174B8B"/>
        </w:rPr>
        <w:t>年上半年银行机构央 </w:t>
      </w:r>
      <w:r>
        <w:rPr>
          <w:sz w:val="28"/>
          <w:szCs w:val="28"/>
          <w:color w:val="174B8B"/>
          <w:spacing w:val="-2"/>
        </w:rPr>
        <w:t>行评级结果</w:t>
      </w:r>
    </w:p>
    <w:p>
      <w:pPr>
        <w:pStyle w:val="BodyText"/>
        <w:ind w:left="433"/>
        <w:spacing w:before="394" w:line="182" w:lineRule="auto"/>
        <w:rPr/>
      </w:pPr>
      <w:r>
        <w:rPr>
          <w:rFonts w:ascii="Times New Roman" w:hAnsi="Times New Roman" w:eastAsia="Times New Roman" w:cs="Times New Roman"/>
          <w:color w:val="231F20"/>
          <w:spacing w:val="8"/>
        </w:rPr>
        <w:t>3529</w:t>
      </w:r>
      <w:r>
        <w:rPr>
          <w:color w:val="231F20"/>
          <w:spacing w:val="8"/>
        </w:rPr>
        <w:t>家参评银行包含</w:t>
      </w:r>
      <w:r>
        <w:rPr>
          <w:rFonts w:ascii="Times New Roman" w:hAnsi="Times New Roman" w:eastAsia="Times New Roman" w:cs="Times New Roman"/>
          <w:color w:val="231F20"/>
          <w:spacing w:val="8"/>
        </w:rPr>
        <w:t>21</w:t>
      </w:r>
      <w:r>
        <w:rPr>
          <w:color w:val="231F20"/>
          <w:spacing w:val="8"/>
        </w:rPr>
        <w:t>家全国性银行及</w:t>
      </w:r>
    </w:p>
    <w:p>
      <w:pPr>
        <w:spacing w:line="113" w:lineRule="exact"/>
        <w:rPr/>
      </w:pPr>
      <w:r/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2"/>
        <w:spacing w:before="41" w:line="254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8"/>
        </w:rPr>
        <w:t>3508</w:t>
      </w:r>
      <w:r>
        <w:rPr>
          <w:color w:val="231F20"/>
          <w:spacing w:val="8"/>
        </w:rPr>
        <w:t>家地方法人银行。评级结果按风险</w:t>
      </w:r>
      <w:r>
        <w:rPr>
          <w:color w:val="231F20"/>
          <w:spacing w:val="7"/>
        </w:rPr>
        <w:t>由低</w:t>
      </w:r>
      <w:r>
        <w:rPr>
          <w:color w:val="231F20"/>
        </w:rPr>
        <w:t xml:space="preserve"> </w:t>
      </w:r>
      <w:r>
        <w:rPr>
          <w:color w:val="231F20"/>
          <w:spacing w:val="10"/>
        </w:rPr>
        <w:t>到高划分为</w:t>
      </w:r>
      <w:r>
        <w:rPr>
          <w:rFonts w:ascii="Times New Roman" w:hAnsi="Times New Roman" w:eastAsia="Times New Roman" w:cs="Times New Roman"/>
          <w:color w:val="231F20"/>
          <w:spacing w:val="10"/>
        </w:rPr>
        <w:t>11</w:t>
      </w:r>
      <w:r>
        <w:rPr>
          <w:color w:val="231F20"/>
          <w:spacing w:val="10"/>
        </w:rPr>
        <w:t>级，分别为</w:t>
      </w:r>
      <w:r>
        <w:rPr>
          <w:rFonts w:ascii="Times New Roman" w:hAnsi="Times New Roman" w:eastAsia="Times New Roman" w:cs="Times New Roman"/>
          <w:color w:val="231F20"/>
          <w:spacing w:val="10"/>
        </w:rPr>
        <w:t>1</w:t>
      </w:r>
      <w:r>
        <w:rPr>
          <w:color w:val="231F20"/>
          <w:spacing w:val="10"/>
        </w:rPr>
        <w:t>-</w:t>
      </w:r>
      <w:r>
        <w:rPr>
          <w:color w:val="231F20"/>
          <w:spacing w:val="-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0"/>
        </w:rPr>
        <w:t>10</w:t>
      </w:r>
      <w:r>
        <w:rPr>
          <w:color w:val="231F20"/>
          <w:spacing w:val="10"/>
        </w:rPr>
        <w:t>级和</w:t>
      </w:r>
      <w:r>
        <w:rPr>
          <w:rFonts w:ascii="Times New Roman" w:hAnsi="Times New Roman" w:eastAsia="Times New Roman" w:cs="Times New Roman"/>
          <w:color w:val="231F20"/>
          <w:spacing w:val="10"/>
        </w:rPr>
        <w:t>D</w:t>
      </w:r>
      <w:r>
        <w:rPr>
          <w:color w:val="231F20"/>
          <w:spacing w:val="10"/>
        </w:rPr>
        <w:t>级， </w:t>
      </w:r>
      <w:r>
        <w:rPr>
          <w:rFonts w:ascii="Times New Roman" w:hAnsi="Times New Roman" w:eastAsia="Times New Roman" w:cs="Times New Roman"/>
          <w:color w:val="231F20"/>
          <w:spacing w:val="10"/>
        </w:rPr>
        <w:t>D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7"/>
        </w:rPr>
        <w:t>级表示机构已倒闭、被接管或撤销。其中，</w:t>
      </w:r>
      <w:r>
        <w:rPr>
          <w:color w:val="231F20"/>
        </w:rPr>
        <w:t xml:space="preserve">  </w:t>
      </w:r>
      <w:r>
        <w:rPr>
          <w:color w:val="231F20"/>
          <w:spacing w:val="10"/>
        </w:rPr>
        <w:t>评级结果</w:t>
      </w:r>
      <w:r>
        <w:rPr>
          <w:rFonts w:ascii="Times New Roman" w:hAnsi="Times New Roman" w:eastAsia="Times New Roman" w:cs="Times New Roman"/>
          <w:color w:val="231F20"/>
          <w:spacing w:val="10"/>
        </w:rPr>
        <w:t>1</w:t>
      </w:r>
      <w:r>
        <w:rPr>
          <w:color w:val="231F20"/>
          <w:spacing w:val="10"/>
        </w:rPr>
        <w:t>-</w:t>
      </w:r>
      <w:r>
        <w:rPr>
          <w:color w:val="231F20"/>
          <w:spacing w:val="-1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0"/>
        </w:rPr>
        <w:t>5</w:t>
      </w:r>
      <w:r>
        <w:rPr>
          <w:color w:val="231F20"/>
          <w:spacing w:val="10"/>
        </w:rPr>
        <w:t>级为“绿区”、   </w:t>
      </w:r>
      <w:r>
        <w:rPr>
          <w:rFonts w:ascii="Times New Roman" w:hAnsi="Times New Roman" w:eastAsia="Times New Roman" w:cs="Times New Roman"/>
          <w:color w:val="231F20"/>
          <w:spacing w:val="10"/>
        </w:rPr>
        <w:t>6</w:t>
      </w:r>
      <w:r>
        <w:rPr>
          <w:color w:val="231F20"/>
          <w:spacing w:val="10"/>
        </w:rPr>
        <w:t>-</w:t>
      </w:r>
      <w:r>
        <w:rPr>
          <w:color w:val="231F20"/>
          <w:spacing w:val="-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0"/>
        </w:rPr>
        <w:t>7</w:t>
      </w:r>
      <w:r>
        <w:rPr>
          <w:color w:val="231F20"/>
          <w:spacing w:val="10"/>
        </w:rPr>
        <w:t>级为“黄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区”，“绿区”和“黄区”机构可视为在安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全边界内；评级结果</w:t>
      </w:r>
      <w:r>
        <w:rPr>
          <w:rFonts w:ascii="Times New Roman" w:hAnsi="Times New Roman" w:eastAsia="Times New Roman" w:cs="Times New Roman"/>
          <w:color w:val="231F20"/>
          <w:spacing w:val="2"/>
        </w:rPr>
        <w:t>8</w:t>
      </w:r>
      <w:r>
        <w:rPr>
          <w:color w:val="231F20"/>
          <w:spacing w:val="2"/>
        </w:rPr>
        <w:t>-</w:t>
      </w:r>
      <w:r>
        <w:rPr>
          <w:rFonts w:ascii="Times New Roman" w:hAnsi="Times New Roman" w:eastAsia="Times New Roman" w:cs="Times New Roman"/>
          <w:color w:val="231F20"/>
          <w:spacing w:val="2"/>
        </w:rPr>
        <w:t>D</w:t>
      </w:r>
      <w:r>
        <w:rPr>
          <w:color w:val="231F20"/>
          <w:spacing w:val="2"/>
        </w:rPr>
        <w:t>级为“红区”，表示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9"/>
        </w:rPr>
        <w:t>机构处于风险较高状态。具体评级结果分布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如表</w:t>
      </w:r>
      <w:r>
        <w:rPr>
          <w:rFonts w:ascii="Times New Roman" w:hAnsi="Times New Roman" w:eastAsia="Times New Roman" w:cs="Times New Roman"/>
          <w:color w:val="231F20"/>
          <w:spacing w:val="-5"/>
        </w:rPr>
        <w:t>1</w:t>
      </w:r>
      <w:r>
        <w:rPr>
          <w:color w:val="231F20"/>
          <w:spacing w:val="-5"/>
        </w:rPr>
        <w:t>所示。</w:t>
      </w:r>
    </w:p>
    <w:p>
      <w:pPr>
        <w:spacing w:line="254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7" w:space="100"/>
            <w:col w:w="4162" w:space="0"/>
          </w:cols>
        </w:sectPr>
        <w:rPr/>
      </w:pPr>
    </w:p>
    <w:p>
      <w:pPr>
        <w:pStyle w:val="BodyText"/>
        <w:ind w:left="415"/>
        <w:spacing w:before="261" w:line="208" w:lineRule="auto"/>
        <w:rPr/>
      </w:pPr>
      <w:r>
        <w:rPr>
          <w:color w:val="174B8B"/>
          <w:spacing w:val="1"/>
        </w:rPr>
        <w:t>表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>1                       </w:t>
      </w:r>
      <w:r>
        <w:rPr>
          <w:rFonts w:ascii="Times New Roman" w:hAnsi="Times New Roman" w:eastAsia="Times New Roman" w:cs="Times New Roman"/>
          <w:b/>
          <w:bCs/>
          <w:color w:val="174B8B"/>
        </w:rPr>
        <w:t xml:space="preserve">              2025</w:t>
      </w:r>
      <w:r>
        <w:rPr>
          <w:color w:val="174B8B"/>
        </w:rPr>
        <w:t>年上半年参评银行评级基本情况</w:t>
      </w:r>
    </w:p>
    <w:p>
      <w:pPr>
        <w:spacing w:line="22" w:lineRule="exact"/>
        <w:rPr/>
      </w:pPr>
      <w:r/>
    </w:p>
    <w:tbl>
      <w:tblPr>
        <w:tblStyle w:val="TableNormal"/>
        <w:tblW w:w="87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929"/>
        <w:gridCol w:w="2929"/>
        <w:gridCol w:w="2929"/>
      </w:tblGrid>
      <w:tr>
        <w:trPr>
          <w:trHeight w:val="362" w:hRule="atLeast"/>
        </w:trPr>
        <w:tc>
          <w:tcPr>
            <w:shd w:val="clear" w:fill="174B8B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1111"/>
              <w:spacing w:before="95" w:line="173" w:lineRule="auto"/>
              <w:rPr/>
            </w:pPr>
            <w:r>
              <w:rPr>
                <w:color w:val="FFFFFF"/>
                <w:spacing w:val="-2"/>
              </w:rPr>
              <w:t>机构类型</w:t>
            </w:r>
          </w:p>
        </w:tc>
        <w:tc>
          <w:tcPr>
            <w:shd w:val="clear" w:fill="174B8B"/>
            <w:tcW w:w="2929" w:type="dxa"/>
            <w:vAlign w:val="top"/>
          </w:tcPr>
          <w:p>
            <w:pPr>
              <w:pStyle w:val="TableText"/>
              <w:ind w:left="1106"/>
              <w:spacing w:before="97" w:line="171" w:lineRule="auto"/>
              <w:rPr/>
            </w:pPr>
            <w:r>
              <w:rPr>
                <w:color w:val="FFFFFF"/>
                <w:spacing w:val="-2"/>
              </w:rPr>
              <w:t>机构数量</w:t>
            </w:r>
          </w:p>
        </w:tc>
        <w:tc>
          <w:tcPr>
            <w:shd w:val="clear" w:fill="174B8B"/>
            <w:tcW w:w="2929" w:type="dxa"/>
            <w:vAlign w:val="top"/>
            <w:tcBorders>
              <w:right w:val="nil"/>
            </w:tcBorders>
          </w:tcPr>
          <w:p>
            <w:pPr>
              <w:pStyle w:val="TableText"/>
              <w:ind w:left="927"/>
              <w:spacing w:before="96" w:line="172" w:lineRule="auto"/>
              <w:rPr/>
            </w:pPr>
            <w:r>
              <w:rPr>
                <w:color w:val="FFFFFF"/>
                <w:spacing w:val="-2"/>
              </w:rPr>
              <w:t>评级结果分布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661"/>
              <w:spacing w:before="88" w:line="177" w:lineRule="auto"/>
              <w:rPr/>
            </w:pPr>
            <w:r>
              <w:rPr>
                <w:color w:val="231F20"/>
                <w:spacing w:val="-1"/>
              </w:rPr>
              <w:t>开发性和政策性银行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422"/>
              <w:spacing w:before="85" w:line="182" w:lineRule="auto"/>
              <w:rPr/>
            </w:pPr>
            <w:r>
              <w:rPr>
                <w:color w:val="231F20"/>
              </w:rPr>
              <w:t>3</w:t>
            </w:r>
          </w:p>
        </w:tc>
        <w:tc>
          <w:tcPr>
            <w:shd w:val="clear" w:fill="D4E5F5"/>
            <w:tcW w:w="2929" w:type="dxa"/>
            <w:vAlign w:val="top"/>
            <w:vMerge w:val="restart"/>
            <w:tcBorders>
              <w:right w:val="nil"/>
              <w:bottom w:val="nil"/>
            </w:tcBorders>
          </w:tcPr>
          <w:p>
            <w:pPr>
              <w:pStyle w:val="TableText"/>
              <w:ind w:left="1250"/>
              <w:spacing w:before="453" w:line="201" w:lineRule="auto"/>
              <w:rPr/>
            </w:pPr>
            <w:r>
              <w:rPr>
                <w:color w:val="231F20"/>
              </w:rPr>
              <w:t>1-5级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766"/>
              <w:spacing w:before="89" w:line="178" w:lineRule="auto"/>
              <w:rPr/>
            </w:pPr>
            <w:r>
              <w:rPr>
                <w:color w:val="231F20"/>
                <w:spacing w:val="-3"/>
              </w:rPr>
              <w:t>国有大型商业银行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420"/>
              <w:spacing w:before="85" w:line="182" w:lineRule="auto"/>
              <w:rPr/>
            </w:pPr>
            <w:r>
              <w:rPr>
                <w:color w:val="231F20"/>
              </w:rPr>
              <w:t>6</w:t>
            </w:r>
          </w:p>
        </w:tc>
        <w:tc>
          <w:tcPr>
            <w:tcW w:w="2929" w:type="dxa"/>
            <w:vAlign w:val="top"/>
            <w:vMerge w:val="continue"/>
            <w:tcBorders>
              <w:right w:val="nil"/>
              <w:top w:val="nil"/>
              <w:bottom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58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838"/>
              <w:spacing w:before="89" w:line="178" w:lineRule="auto"/>
              <w:rPr/>
            </w:pPr>
            <w:r>
              <w:rPr>
                <w:color w:val="231F20"/>
                <w:spacing w:val="-1"/>
              </w:rPr>
              <w:t>股份制商业银行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390"/>
              <w:spacing w:before="86" w:line="181" w:lineRule="auto"/>
              <w:rPr/>
            </w:pPr>
            <w:r>
              <w:rPr>
                <w:color w:val="231F20"/>
                <w:spacing w:val="-11"/>
              </w:rPr>
              <w:t>12</w:t>
            </w:r>
          </w:p>
        </w:tc>
        <w:tc>
          <w:tcPr>
            <w:tcW w:w="2929" w:type="dxa"/>
            <w:vAlign w:val="top"/>
            <w:vMerge w:val="continue"/>
            <w:tcBorders>
              <w:right w:val="nil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</w:tr>
      <w:tr>
        <w:trPr>
          <w:trHeight w:val="357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928"/>
              <w:spacing w:before="89" w:line="178" w:lineRule="auto"/>
              <w:rPr/>
            </w:pPr>
            <w:r>
              <w:rPr>
                <w:color w:val="231F20"/>
                <w:spacing w:val="-1"/>
              </w:rPr>
              <w:t>城市商业银行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345"/>
              <w:spacing w:before="87" w:line="180" w:lineRule="auto"/>
              <w:rPr/>
            </w:pPr>
            <w:r>
              <w:rPr>
                <w:color w:val="231F20"/>
                <w:spacing w:val="-12"/>
              </w:rPr>
              <w:t>123</w:t>
            </w:r>
          </w:p>
        </w:tc>
        <w:tc>
          <w:tcPr>
            <w:shd w:val="clear" w:fill="D4E5F5"/>
            <w:tcW w:w="2929" w:type="dxa"/>
            <w:vAlign w:val="top"/>
            <w:tcBorders>
              <w:right w:val="nil"/>
            </w:tcBorders>
          </w:tcPr>
          <w:p>
            <w:pPr>
              <w:pStyle w:val="TableText"/>
              <w:ind w:left="1191"/>
              <w:spacing w:before="87" w:line="180" w:lineRule="auto"/>
              <w:rPr/>
            </w:pPr>
            <w:r>
              <w:rPr>
                <w:color w:val="231F20"/>
                <w:spacing w:val="1"/>
              </w:rPr>
              <w:t>2-10级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925"/>
              <w:spacing w:before="91" w:line="178" w:lineRule="auto"/>
              <w:rPr/>
            </w:pPr>
            <w:r>
              <w:rPr>
                <w:color w:val="231F20"/>
                <w:spacing w:val="-1"/>
              </w:rPr>
              <w:t>农村商业银行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300"/>
              <w:spacing w:before="88" w:line="180" w:lineRule="auto"/>
              <w:rPr/>
            </w:pPr>
            <w:r>
              <w:rPr>
                <w:color w:val="231F20"/>
                <w:spacing w:val="-12"/>
              </w:rPr>
              <w:t>1499</w:t>
            </w:r>
          </w:p>
        </w:tc>
        <w:tc>
          <w:tcPr>
            <w:shd w:val="clear" w:fill="D4E5F5"/>
            <w:tcW w:w="2929" w:type="dxa"/>
            <w:vAlign w:val="top"/>
            <w:tcBorders>
              <w:right w:val="nil"/>
            </w:tcBorders>
          </w:tcPr>
          <w:p>
            <w:pPr>
              <w:pStyle w:val="TableText"/>
              <w:ind w:left="1191"/>
              <w:spacing w:before="88" w:line="180" w:lineRule="auto"/>
              <w:rPr/>
            </w:pPr>
            <w:r>
              <w:rPr>
                <w:color w:val="231F20"/>
                <w:spacing w:val="1"/>
              </w:rPr>
              <w:t>2-10级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925"/>
              <w:spacing w:before="91" w:line="178" w:lineRule="auto"/>
              <w:rPr/>
            </w:pPr>
            <w:r>
              <w:rPr>
                <w:color w:val="231F20"/>
                <w:spacing w:val="-1"/>
              </w:rPr>
              <w:t>农村合作银行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375"/>
              <w:spacing w:before="88" w:line="180" w:lineRule="auto"/>
              <w:rPr/>
            </w:pPr>
            <w:r>
              <w:rPr>
                <w:color w:val="231F20"/>
                <w:spacing w:val="-7"/>
              </w:rPr>
              <w:t>20</w:t>
            </w:r>
          </w:p>
        </w:tc>
        <w:tc>
          <w:tcPr>
            <w:shd w:val="clear" w:fill="D4E5F5"/>
            <w:tcW w:w="2929" w:type="dxa"/>
            <w:vAlign w:val="top"/>
            <w:tcBorders>
              <w:right w:val="nil"/>
            </w:tcBorders>
          </w:tcPr>
          <w:p>
            <w:pPr>
              <w:pStyle w:val="TableText"/>
              <w:ind w:left="1236"/>
              <w:spacing w:before="88" w:line="180" w:lineRule="auto"/>
              <w:rPr/>
            </w:pPr>
            <w:r>
              <w:rPr>
                <w:color w:val="231F20"/>
                <w:spacing w:val="4"/>
              </w:rPr>
              <w:t>5-9级</w:t>
            </w:r>
          </w:p>
        </w:tc>
      </w:tr>
      <w:tr>
        <w:trPr>
          <w:trHeight w:val="357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1015"/>
              <w:spacing w:before="91" w:line="177" w:lineRule="auto"/>
              <w:rPr/>
            </w:pPr>
            <w:r>
              <w:rPr>
                <w:color w:val="231F20"/>
                <w:spacing w:val="-1"/>
              </w:rPr>
              <w:t>农村信用社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333"/>
              <w:spacing w:before="88" w:line="179" w:lineRule="auto"/>
              <w:rPr/>
            </w:pPr>
            <w:r>
              <w:rPr>
                <w:color w:val="231F20"/>
                <w:spacing w:val="-9"/>
              </w:rPr>
              <w:t>374</w:t>
            </w:r>
          </w:p>
        </w:tc>
        <w:tc>
          <w:tcPr>
            <w:shd w:val="clear" w:fill="D4E5F5"/>
            <w:tcW w:w="2929" w:type="dxa"/>
            <w:vAlign w:val="top"/>
            <w:tcBorders>
              <w:right w:val="nil"/>
            </w:tcBorders>
          </w:tcPr>
          <w:p>
            <w:pPr>
              <w:pStyle w:val="TableText"/>
              <w:ind w:left="1191"/>
              <w:spacing w:before="88" w:line="179" w:lineRule="auto"/>
              <w:rPr/>
            </w:pPr>
            <w:r>
              <w:rPr>
                <w:color w:val="231F20"/>
                <w:spacing w:val="1"/>
              </w:rPr>
              <w:t>2-10级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674"/>
              <w:spacing w:before="94" w:line="176" w:lineRule="auto"/>
              <w:rPr/>
            </w:pPr>
            <w:r>
              <w:rPr>
                <w:color w:val="231F20"/>
                <w:spacing w:val="-2"/>
              </w:rPr>
              <w:t>民营银行及直销银行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375"/>
              <w:spacing w:before="91" w:line="178" w:lineRule="auto"/>
              <w:rPr/>
            </w:pPr>
            <w:r>
              <w:rPr>
                <w:color w:val="231F20"/>
                <w:spacing w:val="-7"/>
              </w:rPr>
              <w:t>21</w:t>
            </w:r>
          </w:p>
        </w:tc>
        <w:tc>
          <w:tcPr>
            <w:shd w:val="clear" w:fill="D4E5F5"/>
            <w:tcW w:w="2929" w:type="dxa"/>
            <w:vAlign w:val="top"/>
            <w:tcBorders>
              <w:right w:val="nil"/>
            </w:tcBorders>
          </w:tcPr>
          <w:p>
            <w:pPr>
              <w:pStyle w:val="TableText"/>
              <w:ind w:left="1236"/>
              <w:spacing w:before="91" w:line="178" w:lineRule="auto"/>
              <w:rPr/>
            </w:pPr>
            <w:r>
              <w:rPr>
                <w:color w:val="231F20"/>
                <w:spacing w:val="4"/>
              </w:rPr>
              <w:t>2-9级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927"/>
              <w:spacing w:before="94" w:line="176" w:lineRule="auto"/>
              <w:rPr/>
            </w:pPr>
            <w:r>
              <w:rPr>
                <w:color w:val="231F20"/>
                <w:spacing w:val="-1"/>
              </w:rPr>
              <w:t>外资法人银行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372"/>
              <w:spacing w:before="91" w:line="178" w:lineRule="auto"/>
              <w:rPr/>
            </w:pPr>
            <w:r>
              <w:rPr>
                <w:color w:val="231F20"/>
                <w:spacing w:val="-6"/>
              </w:rPr>
              <w:t>42</w:t>
            </w:r>
          </w:p>
        </w:tc>
        <w:tc>
          <w:tcPr>
            <w:shd w:val="clear" w:fill="D4E5F5"/>
            <w:tcW w:w="2929" w:type="dxa"/>
            <w:vAlign w:val="top"/>
            <w:tcBorders>
              <w:right w:val="nil"/>
            </w:tcBorders>
          </w:tcPr>
          <w:p>
            <w:pPr>
              <w:pStyle w:val="TableText"/>
              <w:ind w:left="1236"/>
              <w:spacing w:before="91" w:line="178" w:lineRule="auto"/>
              <w:rPr/>
            </w:pPr>
            <w:r>
              <w:rPr>
                <w:color w:val="231F20"/>
                <w:spacing w:val="4"/>
              </w:rPr>
              <w:t>2-6级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1108"/>
              <w:spacing w:before="96" w:line="174" w:lineRule="auto"/>
              <w:rPr/>
            </w:pPr>
            <w:r>
              <w:rPr>
                <w:color w:val="231F20"/>
                <w:spacing w:val="-1"/>
              </w:rPr>
              <w:t>村镇银行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300"/>
              <w:spacing w:before="91" w:line="178" w:lineRule="auto"/>
              <w:rPr/>
            </w:pPr>
            <w:r>
              <w:rPr>
                <w:color w:val="231F20"/>
                <w:spacing w:val="-12"/>
              </w:rPr>
              <w:t>1429</w:t>
            </w:r>
          </w:p>
        </w:tc>
        <w:tc>
          <w:tcPr>
            <w:shd w:val="clear" w:fill="D4E5F5"/>
            <w:tcW w:w="2929" w:type="dxa"/>
            <w:vAlign w:val="top"/>
            <w:tcBorders>
              <w:right w:val="nil"/>
            </w:tcBorders>
          </w:tcPr>
          <w:p>
            <w:pPr>
              <w:pStyle w:val="TableText"/>
              <w:ind w:left="1223"/>
              <w:spacing w:before="91" w:line="178" w:lineRule="auto"/>
              <w:rPr/>
            </w:pPr>
            <w:r>
              <w:rPr>
                <w:color w:val="231F20"/>
                <w:spacing w:val="3"/>
              </w:rPr>
              <w:t>3-D级</w:t>
            </w:r>
          </w:p>
        </w:tc>
      </w:tr>
      <w:tr>
        <w:trPr>
          <w:trHeight w:val="362" w:hRule="atLeast"/>
        </w:trPr>
        <w:tc>
          <w:tcPr>
            <w:shd w:val="clear" w:fill="D4E5F5"/>
            <w:tcW w:w="2929" w:type="dxa"/>
            <w:vAlign w:val="top"/>
            <w:tcBorders>
              <w:left w:val="nil"/>
            </w:tcBorders>
          </w:tcPr>
          <w:p>
            <w:pPr>
              <w:pStyle w:val="TableText"/>
              <w:ind w:left="1295"/>
              <w:spacing w:before="95" w:line="177" w:lineRule="auto"/>
              <w:rPr/>
            </w:pPr>
            <w:r>
              <w:rPr>
                <w:color w:val="231F20"/>
                <w:spacing w:val="-3"/>
              </w:rPr>
              <w:t>总计</w:t>
            </w:r>
          </w:p>
        </w:tc>
        <w:tc>
          <w:tcPr>
            <w:shd w:val="clear" w:fill="D4E5F5"/>
            <w:tcW w:w="2929" w:type="dxa"/>
            <w:vAlign w:val="top"/>
          </w:tcPr>
          <w:p>
            <w:pPr>
              <w:pStyle w:val="TableText"/>
              <w:ind w:left="1288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3529</w:t>
            </w:r>
          </w:p>
        </w:tc>
        <w:tc>
          <w:tcPr>
            <w:shd w:val="clear" w:fill="D4E5F5"/>
            <w:tcW w:w="2929" w:type="dxa"/>
            <w:vAlign w:val="top"/>
            <w:tcBorders>
              <w:right w:val="nil"/>
            </w:tcBorders>
          </w:tcPr>
          <w:p>
            <w:pPr>
              <w:pStyle w:val="TableText"/>
              <w:ind w:left="1418"/>
              <w:spacing w:before="198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</w:tc>
      </w:tr>
    </w:tbl>
    <w:p>
      <w:pPr>
        <w:pStyle w:val="BodyText"/>
        <w:spacing w:line="212" w:lineRule="exact"/>
        <w:rPr>
          <w:sz w:val="11"/>
        </w:rPr>
      </w:pPr>
      <w:r/>
    </w:p>
    <w:p>
      <w:pPr>
        <w:spacing w:line="212" w:lineRule="exact"/>
        <w:sectPr>
          <w:type w:val="continuous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>
          <w:sz w:val="11"/>
          <w:szCs w:val="11"/>
        </w:rPr>
      </w:pPr>
    </w:p>
    <w:p>
      <w:pPr>
        <w:pStyle w:val="BodyText"/>
        <w:ind w:left="7" w:right="359" w:firstLine="425"/>
        <w:spacing w:before="50" w:line="215" w:lineRule="auto"/>
        <w:jc w:val="both"/>
        <w:rPr/>
      </w:pPr>
      <w:r>
        <w:rPr>
          <w:color w:val="231F20"/>
          <w:spacing w:val="4"/>
        </w:rPr>
        <w:t>评级结果</w:t>
      </w:r>
      <w:r>
        <w:rPr>
          <w:rFonts w:ascii="Times New Roman" w:hAnsi="Times New Roman" w:eastAsia="Times New Roman" w:cs="Times New Roman"/>
          <w:b/>
          <w:bCs/>
          <w:color w:val="231F20"/>
          <w:spacing w:val="4"/>
        </w:rPr>
        <w:t>1</w:t>
      </w:r>
      <w:r>
        <w:rPr>
          <w:color w:val="231F20"/>
          <w:spacing w:val="4"/>
        </w:rPr>
        <w:t>-</w:t>
      </w:r>
      <w:r>
        <w:rPr>
          <w:rFonts w:ascii="Times New Roman" w:hAnsi="Times New Roman" w:eastAsia="Times New Roman" w:cs="Times New Roman"/>
          <w:b/>
          <w:bCs/>
          <w:color w:val="231F20"/>
          <w:spacing w:val="4"/>
        </w:rPr>
        <w:t>7</w:t>
      </w:r>
      <w:r>
        <w:rPr>
          <w:color w:val="231F20"/>
          <w:spacing w:val="4"/>
        </w:rPr>
        <w:t>级的银行有</w:t>
      </w:r>
      <w:r>
        <w:rPr>
          <w:rFonts w:ascii="Times New Roman" w:hAnsi="Times New Roman" w:eastAsia="Times New Roman" w:cs="Times New Roman"/>
          <w:b/>
          <w:bCs/>
          <w:color w:val="231F20"/>
          <w:spacing w:val="4"/>
        </w:rPr>
        <w:t>3217</w:t>
      </w:r>
      <w:r>
        <w:rPr>
          <w:color w:val="231F20"/>
          <w:spacing w:val="4"/>
        </w:rPr>
        <w:t>家，资产占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6"/>
        </w:rPr>
        <w:t>全部参评银行总资产的</w:t>
      </w:r>
      <w:r>
        <w:rPr>
          <w:rFonts w:ascii="Times New Roman" w:hAnsi="Times New Roman" w:eastAsia="Times New Roman" w:cs="Times New Roman"/>
          <w:b/>
          <w:bCs/>
          <w:color w:val="231F20"/>
          <w:spacing w:val="6"/>
        </w:rPr>
        <w:t>98%</w:t>
      </w:r>
      <w:r>
        <w:rPr>
          <w:rFonts w:ascii="Times New Roman" w:hAnsi="Times New Roman" w:eastAsia="Times New Roman" w:cs="Times New Roman"/>
          <w:b/>
          <w:bCs/>
          <w:color w:val="231F20"/>
          <w:spacing w:val="-5"/>
        </w:rPr>
        <w:t xml:space="preserve"> </w:t>
      </w:r>
      <w:r>
        <w:rPr>
          <w:color w:val="231F20"/>
          <w:spacing w:val="6"/>
        </w:rPr>
        <w:t>。评级结果处于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“绿区”的银行</w:t>
      </w:r>
      <w:r>
        <w:rPr>
          <w:rFonts w:ascii="Times New Roman" w:hAnsi="Times New Roman" w:eastAsia="Times New Roman" w:cs="Times New Roman"/>
          <w:color w:val="231F20"/>
          <w:spacing w:val="2"/>
        </w:rPr>
        <w:t>1831</w:t>
      </w:r>
      <w:r>
        <w:rPr>
          <w:color w:val="231F20"/>
          <w:spacing w:val="2"/>
        </w:rPr>
        <w:t>家，资产规模</w:t>
      </w:r>
      <w:r>
        <w:rPr>
          <w:rFonts w:ascii="Times New Roman" w:hAnsi="Times New Roman" w:eastAsia="Times New Roman" w:cs="Times New Roman"/>
          <w:color w:val="231F20"/>
          <w:spacing w:val="2"/>
        </w:rPr>
        <w:t>421</w:t>
      </w:r>
      <w:r>
        <w:rPr>
          <w:color w:val="231F20"/>
          <w:spacing w:val="2"/>
        </w:rPr>
        <w:t>万亿元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2" w:firstLine="24"/>
        <w:spacing w:before="83" w:line="208" w:lineRule="auto"/>
        <w:jc w:val="both"/>
        <w:rPr/>
      </w:pPr>
      <w:r>
        <w:rPr>
          <w:color w:val="231F20"/>
        </w:rPr>
        <w:t>（占比</w:t>
      </w:r>
      <w:r>
        <w:rPr>
          <w:rFonts w:ascii="Times New Roman" w:hAnsi="Times New Roman" w:eastAsia="Times New Roman" w:cs="Times New Roman"/>
          <w:color w:val="231F20"/>
        </w:rPr>
        <w:t>94.6%</w:t>
      </w:r>
      <w:r>
        <w:rPr>
          <w:color w:val="231F20"/>
          <w:spacing w:val="10"/>
        </w:rPr>
        <w:t>）；</w:t>
      </w:r>
      <w:r>
        <w:rPr>
          <w:color w:val="231F20"/>
        </w:rPr>
        <w:t>“黄区”银行</w:t>
      </w:r>
      <w:r>
        <w:rPr>
          <w:rFonts w:ascii="Times New Roman" w:hAnsi="Times New Roman" w:eastAsia="Times New Roman" w:cs="Times New Roman"/>
          <w:color w:val="231F20"/>
        </w:rPr>
        <w:t>1386</w:t>
      </w:r>
      <w:r>
        <w:rPr>
          <w:color w:val="231F20"/>
        </w:rPr>
        <w:t>家，资产 </w:t>
      </w:r>
      <w:r>
        <w:rPr>
          <w:color w:val="231F20"/>
          <w:spacing w:val="-1"/>
        </w:rPr>
        <w:t>规模</w:t>
      </w:r>
      <w:r>
        <w:rPr>
          <w:rFonts w:ascii="Times New Roman" w:hAnsi="Times New Roman" w:eastAsia="Times New Roman" w:cs="Times New Roman"/>
          <w:color w:val="231F20"/>
          <w:spacing w:val="-1"/>
        </w:rPr>
        <w:t>14.5</w:t>
      </w:r>
      <w:r>
        <w:rPr>
          <w:color w:val="231F20"/>
          <w:spacing w:val="-1"/>
        </w:rPr>
        <w:t>万亿元（占比</w:t>
      </w:r>
      <w:r>
        <w:rPr>
          <w:rFonts w:ascii="Times New Roman" w:hAnsi="Times New Roman" w:eastAsia="Times New Roman" w:cs="Times New Roman"/>
          <w:color w:val="231F20"/>
          <w:spacing w:val="-1"/>
        </w:rPr>
        <w:t>3.3%</w:t>
      </w:r>
      <w:r>
        <w:rPr>
          <w:color w:val="231F20"/>
          <w:spacing w:val="4"/>
        </w:rPr>
        <w:t>）；</w:t>
      </w:r>
      <w:r>
        <w:rPr>
          <w:color w:val="231F20"/>
          <w:spacing w:val="-1"/>
        </w:rPr>
        <w:t>“红区”银行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312</w:t>
      </w:r>
      <w:r>
        <w:rPr>
          <w:color w:val="231F20"/>
          <w:spacing w:val="-1"/>
        </w:rPr>
        <w:t>家，资产规模</w:t>
      </w:r>
      <w:r>
        <w:rPr>
          <w:rFonts w:ascii="Times New Roman" w:hAnsi="Times New Roman" w:eastAsia="Times New Roman" w:cs="Times New Roman"/>
          <w:color w:val="231F20"/>
          <w:spacing w:val="-1"/>
        </w:rPr>
        <w:t>9.4</w:t>
      </w:r>
      <w:r>
        <w:rPr>
          <w:color w:val="231F20"/>
          <w:spacing w:val="-1"/>
        </w:rPr>
        <w:t>万亿元（占比</w:t>
      </w:r>
      <w:r>
        <w:rPr>
          <w:rFonts w:ascii="Times New Roman" w:hAnsi="Times New Roman" w:eastAsia="Times New Roman" w:cs="Times New Roman"/>
          <w:color w:val="231F20"/>
          <w:spacing w:val="-1"/>
        </w:rPr>
        <w:t>2.1%</w:t>
      </w:r>
      <w:r>
        <w:rPr>
          <w:color w:val="231F20"/>
          <w:spacing w:val="5"/>
        </w:rPr>
        <w:t>）（</w:t>
      </w:r>
      <w:r>
        <w:rPr>
          <w:color w:val="231F20"/>
          <w:spacing w:val="-1"/>
        </w:rPr>
        <w:t>见</w:t>
      </w:r>
    </w:p>
    <w:p>
      <w:pPr>
        <w:spacing w:line="208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8" w:space="100"/>
            <w:col w:w="4161" w:space="0"/>
          </w:cols>
        </w:sectPr>
        <w:rPr/>
      </w:pPr>
    </w:p>
    <w:p>
      <w:pPr>
        <w:spacing w:before="145"/>
        <w:rPr/>
      </w:pPr>
      <w:r/>
    </w:p>
    <w:p>
      <w:pPr>
        <w:sectPr>
          <w:headerReference w:type="default" r:id="rId249"/>
          <w:pgSz w:w="11906" w:h="16158"/>
          <w:pgMar w:top="1385" w:right="1416" w:bottom="400" w:left="1704" w:header="1062" w:footer="0" w:gutter="0"/>
          <w:cols w:equalWidth="0" w:num="1">
            <w:col w:w="8785" w:space="0"/>
          </w:cols>
        </w:sectPr>
        <w:rPr/>
      </w:pPr>
    </w:p>
    <w:p>
      <w:pPr>
        <w:pStyle w:val="BodyText"/>
        <w:ind w:right="363" w:firstLine="23"/>
        <w:spacing w:before="51" w:line="266" w:lineRule="auto"/>
        <w:rPr/>
      </w:pPr>
      <w:r>
        <w:rPr>
          <w:color w:val="231F20"/>
          <w:spacing w:val="1"/>
        </w:rPr>
        <w:t>图</w:t>
      </w:r>
      <w:r>
        <w:rPr>
          <w:rFonts w:ascii="Times New Roman" w:hAnsi="Times New Roman" w:eastAsia="Times New Roman" w:cs="Times New Roman"/>
          <w:color w:val="231F20"/>
          <w:spacing w:val="1"/>
        </w:rPr>
        <w:t>1</w:t>
      </w:r>
      <w:r>
        <w:rPr>
          <w:color w:val="231F20"/>
          <w:spacing w:val="1"/>
        </w:rPr>
        <w:t>）。由此可见，我国银行机构整体经营稳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健，风险总体可控。</w:t>
      </w:r>
    </w:p>
    <w:p>
      <w:pPr>
        <w:pStyle w:val="BodyText"/>
        <w:ind w:left="561"/>
        <w:spacing w:before="225" w:line="132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sz w:val="13"/>
          <w:szCs w:val="13"/>
          <w:color w:val="231F20"/>
          <w:position w:val="2"/>
        </w:rPr>
        <w:drawing>
          <wp:inline distT="0" distB="0" distL="0" distR="0">
            <wp:extent cx="144005" cy="43192"/>
            <wp:effectExtent l="0" t="0" r="0" b="0"/>
            <wp:docPr id="490" name="IM 490"/>
            <wp:cNvGraphicFramePr/>
            <a:graphic>
              <a:graphicData uri="http://schemas.openxmlformats.org/drawingml/2006/picture">
                <pic:pic>
                  <pic:nvPicPr>
                    <pic:cNvPr id="490" name="IM 490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4005" cy="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4"/>
          <w:w w:val="102"/>
        </w:rPr>
        <w:t xml:space="preserve"> </w:t>
      </w:r>
      <w:r>
        <w:rPr>
          <w:sz w:val="13"/>
          <w:szCs w:val="13"/>
          <w:color w:val="231F20"/>
          <w:spacing w:val="7"/>
        </w:rPr>
        <w:t>机构家数</w:t>
      </w:r>
      <w:r>
        <w:rPr>
          <w:sz w:val="13"/>
          <w:szCs w:val="13"/>
          <w:color w:val="231F20"/>
          <w:spacing w:val="7"/>
        </w:rPr>
        <w:t xml:space="preserve">  </w:t>
      </w:r>
      <w:r>
        <w:rPr>
          <w:sz w:val="13"/>
          <w:szCs w:val="13"/>
          <w:color w:val="231F20"/>
          <w:spacing w:val="7"/>
        </w:rPr>
        <w:t>(左轴</w:t>
      </w:r>
      <w:r>
        <w:rPr>
          <w:sz w:val="13"/>
          <w:szCs w:val="13"/>
          <w:color w:val="231F20"/>
          <w:spacing w:val="17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>)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 xml:space="preserve">    </w:t>
      </w:r>
      <w:r>
        <w:rPr>
          <w:rFonts w:ascii="DejaVu Sans" w:hAnsi="DejaVu Sans" w:eastAsia="DejaVu Sans" w:cs="DejaVu Sans"/>
          <w:sz w:val="13"/>
          <w:szCs w:val="13"/>
          <w:color w:val="4E85C6"/>
          <w:spacing w:val="7"/>
        </w:rPr>
        <w:t>——</w:t>
      </w:r>
      <w:r>
        <w:rPr>
          <w:rFonts w:ascii="DejaVu Sans" w:hAnsi="DejaVu Sans" w:eastAsia="DejaVu Sans" w:cs="DejaVu Sans"/>
          <w:sz w:val="13"/>
          <w:szCs w:val="13"/>
          <w:color w:val="4E85C6"/>
          <w:spacing w:val="-22"/>
        </w:rPr>
        <w:t xml:space="preserve"> </w:t>
      </w:r>
      <w:r>
        <w:rPr>
          <w:sz w:val="13"/>
          <w:szCs w:val="13"/>
          <w:color w:val="231F20"/>
          <w:spacing w:val="7"/>
        </w:rPr>
        <w:t>机构家数占比</w:t>
      </w:r>
      <w:r>
        <w:rPr>
          <w:sz w:val="13"/>
          <w:szCs w:val="13"/>
          <w:color w:val="231F20"/>
          <w:spacing w:val="7"/>
        </w:rPr>
        <w:t xml:space="preserve">  </w:t>
      </w:r>
      <w:r>
        <w:rPr>
          <w:sz w:val="13"/>
          <w:szCs w:val="13"/>
          <w:color w:val="231F20"/>
          <w:spacing w:val="7"/>
        </w:rPr>
        <w:t>(右轴</w:t>
      </w:r>
      <w:r>
        <w:rPr>
          <w:sz w:val="13"/>
          <w:szCs w:val="13"/>
          <w:color w:val="231F20"/>
          <w:spacing w:val="13"/>
          <w:w w:val="10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7"/>
        </w:rPr>
        <w:t>)</w:t>
      </w:r>
    </w:p>
    <w:p>
      <w:pPr>
        <w:ind w:firstLine="102"/>
        <w:spacing w:before="39" w:line="2248" w:lineRule="exact"/>
        <w:rPr/>
      </w:pPr>
      <w:r>
        <w:drawing>
          <wp:anchor distT="0" distB="0" distL="0" distR="0" simplePos="0" relativeHeight="252410880" behindDoc="1" locked="0" layoutInCell="1" allowOverlap="1">
            <wp:simplePos x="0" y="0"/>
            <wp:positionH relativeFrom="column">
              <wp:posOffset>339167</wp:posOffset>
            </wp:positionH>
            <wp:positionV relativeFrom="paragraph">
              <wp:posOffset>1316353</wp:posOffset>
            </wp:positionV>
            <wp:extent cx="68529" cy="10020"/>
            <wp:effectExtent l="0" t="0" r="0" b="0"/>
            <wp:wrapNone/>
            <wp:docPr id="492" name="IM 492"/>
            <wp:cNvGraphicFramePr/>
            <a:graphic>
              <a:graphicData uri="http://schemas.openxmlformats.org/drawingml/2006/picture">
                <pic:pic>
                  <pic:nvPicPr>
                    <pic:cNvPr id="492" name="IM 492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29" cy="1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9856" behindDoc="1" locked="0" layoutInCell="1" allowOverlap="1">
            <wp:simplePos x="0" y="0"/>
            <wp:positionH relativeFrom="column">
              <wp:posOffset>2317065</wp:posOffset>
            </wp:positionH>
            <wp:positionV relativeFrom="paragraph">
              <wp:posOffset>1317166</wp:posOffset>
            </wp:positionV>
            <wp:extent cx="68516" cy="9207"/>
            <wp:effectExtent l="0" t="0" r="0" b="0"/>
            <wp:wrapNone/>
            <wp:docPr id="494" name="IM 494"/>
            <wp:cNvGraphicFramePr/>
            <a:graphic>
              <a:graphicData uri="http://schemas.openxmlformats.org/drawingml/2006/picture">
                <pic:pic>
                  <pic:nvPicPr>
                    <pic:cNvPr id="494" name="IM 494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16" cy="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5760" behindDoc="1" locked="0" layoutInCell="1" allowOverlap="1">
            <wp:simplePos x="0" y="0"/>
            <wp:positionH relativeFrom="column">
              <wp:posOffset>536957</wp:posOffset>
            </wp:positionH>
            <wp:positionV relativeFrom="paragraph">
              <wp:posOffset>1256879</wp:posOffset>
            </wp:positionV>
            <wp:extent cx="68529" cy="69494"/>
            <wp:effectExtent l="0" t="0" r="0" b="0"/>
            <wp:wrapNone/>
            <wp:docPr id="496" name="IM 496"/>
            <wp:cNvGraphicFramePr/>
            <a:graphic>
              <a:graphicData uri="http://schemas.openxmlformats.org/drawingml/2006/picture">
                <pic:pic>
                  <pic:nvPicPr>
                    <pic:cNvPr id="496" name="IM 496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29" cy="6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4736" behindDoc="1" locked="0" layoutInCell="1" allowOverlap="1">
            <wp:simplePos x="0" y="0"/>
            <wp:positionH relativeFrom="column">
              <wp:posOffset>734747</wp:posOffset>
            </wp:positionH>
            <wp:positionV relativeFrom="paragraph">
              <wp:posOffset>988948</wp:posOffset>
            </wp:positionV>
            <wp:extent cx="68529" cy="337425"/>
            <wp:effectExtent l="0" t="0" r="0" b="0"/>
            <wp:wrapNone/>
            <wp:docPr id="498" name="IM 498"/>
            <wp:cNvGraphicFramePr/>
            <a:graphic>
              <a:graphicData uri="http://schemas.openxmlformats.org/drawingml/2006/picture">
                <pic:pic>
                  <pic:nvPicPr>
                    <pic:cNvPr id="498" name="IM 498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29" cy="33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6784" behindDoc="1" locked="0" layoutInCell="1" allowOverlap="1">
            <wp:simplePos x="0" y="0"/>
            <wp:positionH relativeFrom="column">
              <wp:posOffset>932536</wp:posOffset>
            </wp:positionH>
            <wp:positionV relativeFrom="paragraph">
              <wp:posOffset>658469</wp:posOffset>
            </wp:positionV>
            <wp:extent cx="68529" cy="667905"/>
            <wp:effectExtent l="0" t="0" r="0" b="0"/>
            <wp:wrapNone/>
            <wp:docPr id="500" name="IM 500"/>
            <wp:cNvGraphicFramePr/>
            <a:graphic>
              <a:graphicData uri="http://schemas.openxmlformats.org/drawingml/2006/picture">
                <pic:pic>
                  <pic:nvPicPr>
                    <pic:cNvPr id="500" name="IM 500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29" cy="66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1904" behindDoc="1" locked="0" layoutInCell="1" allowOverlap="1">
            <wp:simplePos x="0" y="0"/>
            <wp:positionH relativeFrom="column">
              <wp:posOffset>1130326</wp:posOffset>
            </wp:positionH>
            <wp:positionV relativeFrom="paragraph">
              <wp:posOffset>279958</wp:posOffset>
            </wp:positionV>
            <wp:extent cx="68529" cy="1046416"/>
            <wp:effectExtent l="0" t="0" r="0" b="0"/>
            <wp:wrapNone/>
            <wp:docPr id="502" name="IM 502"/>
            <wp:cNvGraphicFramePr/>
            <a:graphic>
              <a:graphicData uri="http://schemas.openxmlformats.org/drawingml/2006/picture">
                <pic:pic>
                  <pic:nvPicPr>
                    <pic:cNvPr id="502" name="IM 502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29" cy="104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12928" behindDoc="1" locked="0" layoutInCell="1" allowOverlap="1">
            <wp:simplePos x="0" y="0"/>
            <wp:positionH relativeFrom="column">
              <wp:posOffset>1328116</wp:posOffset>
            </wp:positionH>
            <wp:positionV relativeFrom="paragraph">
              <wp:posOffset>270852</wp:posOffset>
            </wp:positionV>
            <wp:extent cx="68529" cy="1055522"/>
            <wp:effectExtent l="0" t="0" r="0" b="0"/>
            <wp:wrapNone/>
            <wp:docPr id="504" name="IM 504"/>
            <wp:cNvGraphicFramePr/>
            <a:graphic>
              <a:graphicData uri="http://schemas.openxmlformats.org/drawingml/2006/picture">
                <pic:pic>
                  <pic:nvPicPr>
                    <pic:cNvPr id="504" name="IM 504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29" cy="1055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3712" behindDoc="1" locked="0" layoutInCell="1" allowOverlap="1">
            <wp:simplePos x="0" y="0"/>
            <wp:positionH relativeFrom="column">
              <wp:posOffset>1525906</wp:posOffset>
            </wp:positionH>
            <wp:positionV relativeFrom="paragraph">
              <wp:posOffset>784364</wp:posOffset>
            </wp:positionV>
            <wp:extent cx="68529" cy="542010"/>
            <wp:effectExtent l="0" t="0" r="0" b="0"/>
            <wp:wrapNone/>
            <wp:docPr id="506" name="IM 506"/>
            <wp:cNvGraphicFramePr/>
            <a:graphic>
              <a:graphicData uri="http://schemas.openxmlformats.org/drawingml/2006/picture">
                <pic:pic>
                  <pic:nvPicPr>
                    <pic:cNvPr id="506" name="IM 506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29" cy="54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7808" behindDoc="1" locked="0" layoutInCell="1" allowOverlap="1">
            <wp:simplePos x="0" y="0"/>
            <wp:positionH relativeFrom="column">
              <wp:posOffset>1723696</wp:posOffset>
            </wp:positionH>
            <wp:positionV relativeFrom="paragraph">
              <wp:posOffset>1158747</wp:posOffset>
            </wp:positionV>
            <wp:extent cx="68529" cy="167626"/>
            <wp:effectExtent l="0" t="0" r="0" b="0"/>
            <wp:wrapNone/>
            <wp:docPr id="508" name="IM 508"/>
            <wp:cNvGraphicFramePr/>
            <a:graphic>
              <a:graphicData uri="http://schemas.openxmlformats.org/drawingml/2006/picture">
                <pic:pic>
                  <pic:nvPicPr>
                    <pic:cNvPr id="508" name="IM 508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29" cy="16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8832" behindDoc="1" locked="0" layoutInCell="1" allowOverlap="1">
            <wp:simplePos x="0" y="0"/>
            <wp:positionH relativeFrom="column">
              <wp:posOffset>1921485</wp:posOffset>
            </wp:positionH>
            <wp:positionV relativeFrom="paragraph">
              <wp:posOffset>1192643</wp:posOffset>
            </wp:positionV>
            <wp:extent cx="68516" cy="133731"/>
            <wp:effectExtent l="0" t="0" r="0" b="0"/>
            <wp:wrapNone/>
            <wp:docPr id="510" name="IM 510"/>
            <wp:cNvGraphicFramePr/>
            <a:graphic>
              <a:graphicData uri="http://schemas.openxmlformats.org/drawingml/2006/picture">
                <pic:pic>
                  <pic:nvPicPr>
                    <pic:cNvPr id="510" name="IM 510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16" cy="133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02688" behindDoc="1" locked="0" layoutInCell="1" allowOverlap="1">
            <wp:simplePos x="0" y="0"/>
            <wp:positionH relativeFrom="column">
              <wp:posOffset>2119275</wp:posOffset>
            </wp:positionH>
            <wp:positionV relativeFrom="paragraph">
              <wp:posOffset>1255649</wp:posOffset>
            </wp:positionV>
            <wp:extent cx="68529" cy="70725"/>
            <wp:effectExtent l="0" t="0" r="0" b="0"/>
            <wp:wrapNone/>
            <wp:docPr id="512" name="IM 512"/>
            <wp:cNvGraphicFramePr/>
            <a:graphic>
              <a:graphicData uri="http://schemas.openxmlformats.org/drawingml/2006/picture">
                <pic:pic>
                  <pic:nvPicPr>
                    <pic:cNvPr id="512" name="IM 512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529" cy="7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4"/>
        </w:rPr>
        <w:drawing>
          <wp:inline distT="0" distB="0" distL="0" distR="0">
            <wp:extent cx="2511879" cy="1427193"/>
            <wp:effectExtent l="0" t="0" r="0" b="0"/>
            <wp:docPr id="514" name="IM 514"/>
            <wp:cNvGraphicFramePr/>
            <a:graphic>
              <a:graphicData uri="http://schemas.openxmlformats.org/drawingml/2006/picture">
                <pic:pic>
                  <pic:nvPicPr>
                    <pic:cNvPr id="514" name="IM 514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1879" cy="142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228"/>
        <w:spacing w:before="168" w:line="173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图1    2025年上半年银行机构央行评级结果分布</w:t>
      </w:r>
    </w:p>
    <w:p>
      <w:pPr>
        <w:pStyle w:val="BodyText"/>
        <w:ind w:left="902"/>
        <w:spacing w:before="59" w:line="19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（数据来源：中国人民银行）</w:t>
      </w:r>
    </w:p>
    <w:p>
      <w:pPr>
        <w:pStyle w:val="BodyText"/>
        <w:ind w:left="2" w:right="354" w:firstLine="426"/>
        <w:spacing w:before="314" w:line="249" w:lineRule="auto"/>
        <w:jc w:val="both"/>
        <w:rPr/>
      </w:pPr>
      <w:r>
        <w:rPr>
          <w:color w:val="231F20"/>
          <w:spacing w:val="9"/>
        </w:rPr>
        <w:t>分机构类型看，全国性银行评级结果较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好，部分地方中小银行存在一定风险。 </w:t>
      </w:r>
      <w:r>
        <w:rPr>
          <w:rFonts w:ascii="Times New Roman" w:hAnsi="Times New Roman" w:eastAsia="Times New Roman" w:cs="Times New Roman"/>
          <w:color w:val="231F20"/>
          <w:spacing w:val="5"/>
        </w:rPr>
        <w:t>21</w:t>
      </w:r>
      <w:r>
        <w:rPr>
          <w:color w:val="231F20"/>
          <w:spacing w:val="5"/>
        </w:rPr>
        <w:t>家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3"/>
        </w:rPr>
        <w:t>全国性银行中，评级结果为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级的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家、</w:t>
      </w:r>
      <w:r>
        <w:rPr>
          <w:rFonts w:ascii="Times New Roman" w:hAnsi="Times New Roman" w:eastAsia="Times New Roman" w:cs="Times New Roman"/>
          <w:color w:val="231F20"/>
          <w:spacing w:val="3"/>
        </w:rPr>
        <w:t>2</w:t>
      </w:r>
      <w:r>
        <w:rPr>
          <w:color w:val="231F20"/>
          <w:spacing w:val="3"/>
        </w:rPr>
        <w:t>级的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10</w:t>
      </w:r>
      <w:r>
        <w:rPr>
          <w:color w:val="231F20"/>
          <w:spacing w:val="3"/>
        </w:rPr>
        <w:t>家、</w:t>
      </w:r>
      <w:r>
        <w:rPr>
          <w:color w:val="231F20"/>
          <w:spacing w:val="-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3</w:t>
      </w:r>
      <w:r>
        <w:rPr>
          <w:color w:val="231F20"/>
          <w:spacing w:val="3"/>
        </w:rPr>
        <w:t>级的</w:t>
      </w:r>
      <w:r>
        <w:rPr>
          <w:rFonts w:ascii="Times New Roman" w:hAnsi="Times New Roman" w:eastAsia="Times New Roman" w:cs="Times New Roman"/>
          <w:color w:val="231F20"/>
          <w:spacing w:val="3"/>
        </w:rPr>
        <w:t>3</w:t>
      </w:r>
      <w:r>
        <w:rPr>
          <w:color w:val="231F20"/>
          <w:spacing w:val="3"/>
        </w:rPr>
        <w:t>家、</w:t>
      </w:r>
      <w:r>
        <w:rPr>
          <w:color w:val="231F20"/>
          <w:spacing w:val="-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4</w:t>
      </w:r>
      <w:r>
        <w:rPr>
          <w:color w:val="231F20"/>
          <w:spacing w:val="3"/>
        </w:rPr>
        <w:t>级的</w:t>
      </w:r>
      <w:r>
        <w:rPr>
          <w:rFonts w:ascii="Times New Roman" w:hAnsi="Times New Roman" w:eastAsia="Times New Roman" w:cs="Times New Roman"/>
          <w:color w:val="231F20"/>
          <w:spacing w:val="3"/>
        </w:rPr>
        <w:t>5</w:t>
      </w:r>
      <w:r>
        <w:rPr>
          <w:color w:val="231F20"/>
          <w:spacing w:val="3"/>
        </w:rPr>
        <w:t>家、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5</w:t>
      </w:r>
      <w:r>
        <w:rPr>
          <w:color w:val="231F20"/>
          <w:spacing w:val="3"/>
        </w:rPr>
        <w:t>级的</w:t>
      </w:r>
      <w:r>
        <w:rPr>
          <w:rFonts w:ascii="Times New Roman" w:hAnsi="Times New Roman" w:eastAsia="Times New Roman" w:cs="Times New Roman"/>
          <w:color w:val="231F20"/>
          <w:spacing w:val="3"/>
        </w:rPr>
        <w:t>2</w:t>
      </w:r>
      <w:r>
        <w:rPr>
          <w:color w:val="231F20"/>
          <w:spacing w:val="3"/>
        </w:rPr>
        <w:t>家，资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产规模占全部参评银行的</w:t>
      </w:r>
      <w:r>
        <w:rPr>
          <w:rFonts w:ascii="Times New Roman" w:hAnsi="Times New Roman" w:eastAsia="Times New Roman" w:cs="Times New Roman"/>
          <w:color w:val="231F20"/>
          <w:spacing w:val="-1"/>
        </w:rPr>
        <w:t>71%</w:t>
      </w:r>
      <w:r>
        <w:rPr>
          <w:color w:val="231F20"/>
          <w:spacing w:val="-1"/>
        </w:rPr>
        <w:t>，是金融体系稳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9"/>
        </w:rPr>
        <w:t>定的压舱石。地方法人银行中，外资银行评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级结果较好，有</w:t>
      </w:r>
      <w:r>
        <w:rPr>
          <w:rFonts w:ascii="Times New Roman" w:hAnsi="Times New Roman" w:eastAsia="Times New Roman" w:cs="Times New Roman"/>
          <w:color w:val="231F20"/>
          <w:spacing w:val="-1"/>
        </w:rPr>
        <w:t>93%</w:t>
      </w:r>
      <w:r>
        <w:rPr>
          <w:color w:val="231F20"/>
          <w:spacing w:val="-1"/>
        </w:rPr>
        <w:t>的机构分布于“绿区”，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且无“红区”银行；城市商业银行有</w:t>
      </w:r>
      <w:r>
        <w:rPr>
          <w:rFonts w:ascii="Times New Roman" w:hAnsi="Times New Roman" w:eastAsia="Times New Roman" w:cs="Times New Roman"/>
          <w:color w:val="231F20"/>
          <w:spacing w:val="-1"/>
        </w:rPr>
        <w:t>68%</w:t>
      </w:r>
      <w:r>
        <w:rPr>
          <w:color w:val="231F20"/>
          <w:spacing w:val="-1"/>
        </w:rPr>
        <w:t>的机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9"/>
        </w:rPr>
        <w:t>构分布于“绿区”；农村中小金融机构（包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括农村商业银行、农村合作银行、农村信用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社、村镇银行）“红区”银行资产规模占全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部参评银行资产规模的比例不足</w:t>
      </w:r>
      <w:r>
        <w:rPr>
          <w:rFonts w:ascii="Times New Roman" w:hAnsi="Times New Roman" w:eastAsia="Times New Roman" w:cs="Times New Roman"/>
          <w:color w:val="231F20"/>
          <w:spacing w:val="-1"/>
        </w:rPr>
        <w:t>1%</w:t>
      </w:r>
      <w:r>
        <w:rPr>
          <w:color w:val="231F20"/>
          <w:spacing w:val="-1"/>
        </w:rPr>
        <w:t>。</w:t>
      </w:r>
    </w:p>
    <w:p>
      <w:pPr>
        <w:pStyle w:val="BodyText"/>
        <w:ind w:left="1" w:right="354" w:firstLine="426"/>
        <w:spacing w:before="9" w:line="228" w:lineRule="auto"/>
        <w:rPr/>
      </w:pPr>
      <w:r>
        <w:rPr>
          <w:color w:val="231F20"/>
          <w:spacing w:val="23"/>
        </w:rPr>
        <w:t>分区域看，绝大多数省份存量风险已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明显压降，区域金融生态持续优化。   北京、</w:t>
      </w:r>
      <w:r>
        <w:rPr>
          <w:color w:val="231F20"/>
          <w:spacing w:val="7"/>
        </w:rPr>
        <w:t xml:space="preserve">  </w:t>
      </w:r>
      <w:r>
        <w:rPr>
          <w:color w:val="231F20"/>
          <w:spacing w:val="9"/>
        </w:rPr>
        <w:t>天津、上海、重庆、浙江、江苏、江西、福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建、西藏</w:t>
      </w:r>
      <w:r>
        <w:rPr>
          <w:rFonts w:ascii="Times New Roman" w:hAnsi="Times New Roman" w:eastAsia="Times New Roman" w:cs="Times New Roman"/>
          <w:color w:val="231F20"/>
          <w:spacing w:val="3"/>
        </w:rPr>
        <w:t>9</w:t>
      </w:r>
      <w:r>
        <w:rPr>
          <w:color w:val="231F20"/>
          <w:spacing w:val="3"/>
        </w:rPr>
        <w:t>个省区市辖内无“红区”银行，另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8"/>
        </w:rPr>
        <w:t>有</w:t>
      </w:r>
      <w:r>
        <w:rPr>
          <w:rFonts w:ascii="Times New Roman" w:hAnsi="Times New Roman" w:eastAsia="Times New Roman" w:cs="Times New Roman"/>
          <w:color w:val="231F20"/>
          <w:spacing w:val="8"/>
        </w:rPr>
        <w:t>13</w:t>
      </w:r>
      <w:r>
        <w:rPr>
          <w:color w:val="231F20"/>
          <w:spacing w:val="8"/>
        </w:rPr>
        <w:t>个省区市辖内“红区”银行维持在个位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7"/>
        </w:rPr>
        <w:t>数水平。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80"/>
        <w:spacing w:before="60" w:line="171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2"/>
        </w:rPr>
        <w:t>二、央行评级结果运用</w:t>
      </w:r>
    </w:p>
    <w:p>
      <w:pPr>
        <w:pStyle w:val="BodyText"/>
        <w:ind w:left="3" w:firstLine="423"/>
        <w:spacing w:before="444" w:line="249" w:lineRule="auto"/>
        <w:rPr/>
      </w:pPr>
      <w:r>
        <w:rPr>
          <w:color w:val="231F20"/>
          <w:spacing w:val="23"/>
        </w:rPr>
        <w:t>基于评级结果分类分段管理，“防治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11"/>
        </w:rPr>
        <w:t>结合”推动风险化解。   对于非“红区”银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7"/>
        </w:rPr>
        <w:t>行，中国人民银行按照“早识别、早预警、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早暴露、早处置”原则，开展预警工作，及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时发现异常指标和苗头性风险，采取风险提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示、约谈高管、下发风险警示函等措施促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使大部分银行异常指标回归至行业正常水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平，做到抓早抓小“治未病”、防患于未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然。对于“红区”银行，中国人民银行依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21"/>
        </w:rPr>
        <w:t>法采取要求补充资本、控制资产增长、控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制重大交易授信、降低杠杆率等早期纠正措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施，并明确限期整改，督促金融机构通过自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我修复化解风险，增强金融机构风险防控的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自觉性和主动性。同时，中国人民银行也积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极与地方政府、金融监管部门等方面共享评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级结果及发现的风险问题，加强工作联动，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推动改革化险，提升风险防控的有效性和协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同性。</w:t>
      </w:r>
    </w:p>
    <w:p>
      <w:pPr>
        <w:pStyle w:val="BodyText"/>
        <w:ind w:firstLine="426"/>
        <w:spacing w:before="12" w:line="235" w:lineRule="auto"/>
        <w:jc w:val="both"/>
        <w:rPr/>
      </w:pPr>
      <w:r>
        <w:rPr>
          <w:color w:val="231F20"/>
          <w:spacing w:val="7"/>
        </w:rPr>
        <w:t>在央行履职过程中充分应用评级结果，</w:t>
      </w:r>
      <w:r>
        <w:rPr>
          <w:color w:val="231F20"/>
          <w:spacing w:val="3"/>
        </w:rPr>
        <w:t xml:space="preserve">  </w:t>
      </w:r>
      <w:r>
        <w:rPr>
          <w:color w:val="231F20"/>
          <w:spacing w:val="9"/>
        </w:rPr>
        <w:t>通过差异化政策引导金融机构审慎、稳健经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7"/>
        </w:rPr>
        <w:t>营。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7"/>
        </w:rPr>
        <w:t>评级结果是中国人民银行及其分支机构</w:t>
      </w:r>
      <w:r>
        <w:rPr>
          <w:color w:val="231F20"/>
        </w:rPr>
        <w:t xml:space="preserve"> </w:t>
      </w:r>
      <w:r>
        <w:rPr>
          <w:color w:val="231F20"/>
          <w:spacing w:val="19"/>
        </w:rPr>
        <w:t>对银行进行差别化管理的重要参考依据，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在开展金融风险评估、存款保险差别费率核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定、核准金融机构发债等央行职能时，充分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运用评级结果，合理评价金融机构经营管理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水平和风险状况，引导金融机构审慎、稳健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7"/>
        </w:rPr>
        <w:t>经营。</w:t>
      </w:r>
    </w:p>
    <w:p>
      <w:pPr>
        <w:spacing w:line="235" w:lineRule="auto"/>
        <w:sectPr>
          <w:type w:val="continuous"/>
          <w:pgSz w:w="11906" w:h="16158"/>
          <w:pgMar w:top="1385" w:right="1416" w:bottom="400" w:left="1704" w:header="1062" w:footer="0" w:gutter="0"/>
          <w:cols w:equalWidth="0" w:num="2">
            <w:col w:w="4519" w:space="100"/>
            <w:col w:w="4167" w:space="0"/>
          </w:cols>
        </w:sectPr>
        <w:rPr/>
      </w:pPr>
    </w:p>
    <w:p>
      <w:pPr>
        <w:pStyle w:val="BodyText"/>
        <w:spacing w:line="351" w:lineRule="auto"/>
        <w:rPr/>
      </w:pPr>
      <w:r/>
    </w:p>
    <w:p>
      <w:pPr>
        <w:pStyle w:val="BodyText"/>
        <w:spacing w:line="351" w:lineRule="auto"/>
        <w:rPr/>
      </w:pPr>
      <w:r/>
    </w:p>
    <w:p>
      <w:pPr>
        <w:pStyle w:val="BodyText"/>
        <w:ind w:left="2538"/>
        <w:spacing w:before="163" w:line="200" w:lineRule="auto"/>
        <w:outlineLvl w:val="0"/>
        <w:rPr>
          <w:sz w:val="34"/>
          <w:szCs w:val="34"/>
        </w:rPr>
      </w:pPr>
      <w:bookmarkStart w:name="bookmark32" w:id="57"/>
      <w:bookmarkEnd w:id="57"/>
      <w:r>
        <w:rPr>
          <w:sz w:val="34"/>
          <w:szCs w:val="34"/>
          <w:color w:val="174B8B"/>
          <w:spacing w:val="-3"/>
        </w:rPr>
        <w:t>专题二</w:t>
      </w:r>
      <w:r>
        <w:rPr>
          <w:sz w:val="34"/>
          <w:szCs w:val="34"/>
          <w:color w:val="174B8B"/>
          <w:spacing w:val="12"/>
        </w:rPr>
        <w:t xml:space="preserve">    </w:t>
      </w:r>
      <w:r>
        <w:rPr>
          <w:sz w:val="34"/>
          <w:szCs w:val="34"/>
          <w:color w:val="174B8B"/>
          <w:spacing w:val="-3"/>
        </w:rPr>
        <w:t>银行业压力测试</w:t>
      </w:r>
    </w:p>
    <w:p>
      <w:pPr>
        <w:spacing w:before="389"/>
        <w:rPr/>
      </w:pPr>
      <w:r/>
    </w:p>
    <w:p>
      <w:pPr>
        <w:sectPr>
          <w:headerReference w:type="default" r:id="rId263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6" w:right="355" w:firstLine="427"/>
        <w:spacing w:before="41" w:line="257" w:lineRule="auto"/>
        <w:jc w:val="both"/>
        <w:rPr/>
      </w:pPr>
      <w:r>
        <w:rPr>
          <w:color w:val="231F20"/>
          <w:spacing w:val="9"/>
        </w:rPr>
        <w:t>为进一步发挥压力测试在风险监测评估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5"/>
        </w:rPr>
        <w:t>中的重要作用， </w:t>
      </w:r>
      <w:r>
        <w:rPr>
          <w:rFonts w:ascii="Times New Roman" w:hAnsi="Times New Roman" w:eastAsia="Times New Roman" w:cs="Times New Roman"/>
          <w:color w:val="231F20"/>
          <w:spacing w:val="5"/>
        </w:rPr>
        <w:t>2025</w:t>
      </w:r>
      <w:r>
        <w:rPr>
          <w:color w:val="231F20"/>
          <w:spacing w:val="5"/>
        </w:rPr>
        <w:t>年，中国人民银行对全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8"/>
        </w:rPr>
        <w:t>国</w:t>
      </w:r>
      <w:r>
        <w:rPr>
          <w:rFonts w:ascii="Times New Roman" w:hAnsi="Times New Roman" w:eastAsia="Times New Roman" w:cs="Times New Roman"/>
          <w:color w:val="231F20"/>
          <w:spacing w:val="8"/>
        </w:rPr>
        <w:t>3235</w:t>
      </w:r>
      <w:r>
        <w:rPr>
          <w:color w:val="231F20"/>
          <w:spacing w:val="8"/>
        </w:rPr>
        <w:t>家银行机构开展压力测试，充分评估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银行体系在多种“极端但可能”不利冲击下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的稳健性状况。</w:t>
      </w:r>
    </w:p>
    <w:p>
      <w:pPr>
        <w:pStyle w:val="BodyText"/>
        <w:ind w:left="482"/>
        <w:spacing w:before="397" w:line="174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4"/>
        </w:rPr>
        <w:t>一、压力测试基本情况</w:t>
      </w:r>
    </w:p>
    <w:p>
      <w:pPr>
        <w:pStyle w:val="BodyText"/>
        <w:ind w:left="6" w:right="355" w:firstLine="424"/>
        <w:spacing w:before="432" w:line="249" w:lineRule="auto"/>
        <w:rPr/>
      </w:pPr>
      <w:r>
        <w:rPr>
          <w:color w:val="231F20"/>
          <w:spacing w:val="3"/>
        </w:rPr>
        <w:t>参试银行。参试银行共</w:t>
      </w:r>
      <w:r>
        <w:rPr>
          <w:rFonts w:ascii="Times New Roman" w:hAnsi="Times New Roman" w:eastAsia="Times New Roman" w:cs="Times New Roman"/>
          <w:color w:val="231F20"/>
          <w:spacing w:val="3"/>
        </w:rPr>
        <w:t>3235</w:t>
      </w:r>
      <w:r>
        <w:rPr>
          <w:color w:val="231F20"/>
          <w:spacing w:val="3"/>
        </w:rPr>
        <w:t>家，包括</w:t>
      </w:r>
      <w:r>
        <w:rPr>
          <w:rFonts w:ascii="Times New Roman" w:hAnsi="Times New Roman" w:eastAsia="Times New Roman" w:cs="Times New Roman"/>
          <w:color w:val="231F20"/>
          <w:spacing w:val="3"/>
        </w:rPr>
        <w:t>6</w:t>
      </w:r>
      <w:r>
        <w:rPr>
          <w:color w:val="231F20"/>
          <w:spacing w:val="3"/>
        </w:rPr>
        <w:t>家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国有大型商业银行、  </w:t>
      </w:r>
      <w:r>
        <w:rPr>
          <w:rFonts w:ascii="Times New Roman" w:hAnsi="Times New Roman" w:eastAsia="Times New Roman" w:cs="Times New Roman"/>
          <w:color w:val="231F20"/>
          <w:spacing w:val="1"/>
        </w:rPr>
        <w:t>12</w:t>
      </w:r>
      <w:r>
        <w:rPr>
          <w:color w:val="231F20"/>
          <w:spacing w:val="1"/>
        </w:rPr>
        <w:t>家股份制商业银行、</w:t>
      </w:r>
      <w:r>
        <w:rPr>
          <w:color w:val="231F20"/>
          <w:spacing w:val="7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1"/>
        </w:rPr>
        <w:t>123</w:t>
      </w:r>
      <w:r>
        <w:rPr>
          <w:color w:val="231F20"/>
          <w:spacing w:val="1"/>
        </w:rPr>
        <w:t>家城市商业银行、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1382</w:t>
      </w:r>
      <w:r>
        <w:rPr>
          <w:color w:val="231F20"/>
          <w:spacing w:val="1"/>
        </w:rPr>
        <w:t>家农村商业银行、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327</w:t>
      </w:r>
      <w:r>
        <w:rPr>
          <w:color w:val="231F20"/>
          <w:spacing w:val="-1"/>
        </w:rPr>
        <w:t>家农村信用社、 </w:t>
      </w:r>
      <w:r>
        <w:rPr>
          <w:rFonts w:ascii="Times New Roman" w:hAnsi="Times New Roman" w:eastAsia="Times New Roman" w:cs="Times New Roman"/>
          <w:color w:val="231F20"/>
          <w:spacing w:val="-1"/>
        </w:rPr>
        <w:t>19</w:t>
      </w:r>
      <w:r>
        <w:rPr>
          <w:color w:val="231F20"/>
          <w:spacing w:val="-1"/>
        </w:rPr>
        <w:t>家农村合作银行、 </w:t>
      </w:r>
      <w:r>
        <w:rPr>
          <w:rFonts w:ascii="Times New Roman" w:hAnsi="Times New Roman" w:eastAsia="Times New Roman" w:cs="Times New Roman"/>
          <w:color w:val="231F20"/>
          <w:spacing w:val="-1"/>
        </w:rPr>
        <w:t>1</w:t>
      </w:r>
      <w:r>
        <w:rPr>
          <w:rFonts w:ascii="Times New Roman" w:hAnsi="Times New Roman" w:eastAsia="Times New Roman" w:cs="Times New Roman"/>
          <w:color w:val="231F20"/>
          <w:spacing w:val="-2"/>
        </w:rPr>
        <w:t>303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1"/>
        </w:rPr>
        <w:t>家村镇银行、</w:t>
      </w:r>
      <w:r>
        <w:rPr>
          <w:color w:val="231F20"/>
          <w:spacing w:val="3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19</w:t>
      </w:r>
      <w:r>
        <w:rPr>
          <w:color w:val="231F20"/>
          <w:spacing w:val="1"/>
        </w:rPr>
        <w:t>家民营银行、</w:t>
      </w:r>
      <w:r>
        <w:rPr>
          <w:color w:val="231F20"/>
          <w:spacing w:val="1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42</w:t>
      </w:r>
      <w:r>
        <w:rPr>
          <w:color w:val="231F20"/>
          <w:spacing w:val="1"/>
        </w:rPr>
        <w:t>家外资法人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银行和</w:t>
      </w:r>
      <w:r>
        <w:rPr>
          <w:rFonts w:ascii="Times New Roman" w:hAnsi="Times New Roman" w:eastAsia="Times New Roman" w:cs="Times New Roman"/>
          <w:color w:val="231F20"/>
          <w:spacing w:val="-4"/>
        </w:rPr>
        <w:t>2</w:t>
      </w:r>
      <w:r>
        <w:rPr>
          <w:color w:val="231F20"/>
          <w:spacing w:val="-4"/>
        </w:rPr>
        <w:t>家直销银行。</w:t>
      </w:r>
    </w:p>
    <w:p>
      <w:pPr>
        <w:pStyle w:val="BodyText"/>
        <w:ind w:left="1" w:right="355" w:firstLine="431"/>
        <w:spacing w:before="10" w:line="249" w:lineRule="auto"/>
        <w:rPr/>
      </w:pPr>
      <w:r>
        <w:pict>
          <v:shape id="_x0000_s180" style="position:absolute;margin-left:0.250099pt;margin-top:208.897pt;mso-position-vertical-relative:text;mso-position-horizontal-relative:text;width:90.75pt;height:0.5pt;z-index:252423168;" filled="false" strokecolor="#231F20" strokeweight="0.50pt" coordsize="1815,10" coordorigin="0,0" path="m0,5l1814,5e">
            <v:stroke joinstyle="miter" miterlimit="10"/>
          </v:shape>
        </w:pict>
      </w:r>
      <w:r>
        <w:rPr>
          <w:color w:val="231F20"/>
          <w:spacing w:val="6"/>
        </w:rPr>
        <w:t>测试方法。 测试包括偿付能力宏观情景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压力测试、偿付能力敏感性压力测试、流动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性风险压力测试、传染性风险压力测试。宏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"/>
        </w:rPr>
        <w:t>观情景压力测试仅对</w:t>
      </w:r>
      <w:r>
        <w:rPr>
          <w:rFonts w:ascii="Times New Roman" w:hAnsi="Times New Roman" w:eastAsia="Times New Roman" w:cs="Times New Roman"/>
          <w:color w:val="231F20"/>
          <w:spacing w:val="1"/>
        </w:rPr>
        <w:t>6</w:t>
      </w:r>
      <w:r>
        <w:rPr>
          <w:color w:val="231F20"/>
          <w:spacing w:val="1"/>
        </w:rPr>
        <w:t>家国有大型商业银行、</w:t>
      </w:r>
      <w:r>
        <w:rPr>
          <w:color w:val="231F20"/>
          <w:spacing w:val="6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1"/>
        </w:rPr>
        <w:t>12</w:t>
      </w:r>
      <w:r>
        <w:rPr>
          <w:color w:val="231F20"/>
          <w:spacing w:val="1"/>
        </w:rPr>
        <w:t>家股份制商业银行、 </w:t>
      </w:r>
      <w:r>
        <w:rPr>
          <w:rFonts w:ascii="Times New Roman" w:hAnsi="Times New Roman" w:eastAsia="Times New Roman" w:cs="Times New Roman"/>
          <w:color w:val="231F20"/>
          <w:spacing w:val="1"/>
        </w:rPr>
        <w:t>5</w:t>
      </w:r>
      <w:r>
        <w:rPr>
          <w:color w:val="231F20"/>
          <w:spacing w:val="1"/>
        </w:rPr>
        <w:t>家纳入国内系统重要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性银行（以下简称</w:t>
      </w:r>
      <w:r>
        <w:rPr>
          <w:rFonts w:ascii="Times New Roman" w:hAnsi="Times New Roman" w:eastAsia="Times New Roman" w:cs="Times New Roman"/>
          <w:color w:val="231F20"/>
          <w:spacing w:val="9"/>
        </w:rPr>
        <w:t>D</w:t>
      </w:r>
      <w:r>
        <w:rPr>
          <w:color w:val="231F20"/>
          <w:spacing w:val="9"/>
        </w:rPr>
        <w:t>-</w:t>
      </w:r>
      <w:r>
        <w:rPr>
          <w:rFonts w:ascii="Times New Roman" w:hAnsi="Times New Roman" w:eastAsia="Times New Roman" w:cs="Times New Roman"/>
          <w:color w:val="231F20"/>
        </w:rPr>
        <w:t>SIBs</w:t>
      </w:r>
      <w:r>
        <w:rPr>
          <w:color w:val="231F20"/>
          <w:spacing w:val="9"/>
        </w:rPr>
        <w:t>）的城市商业银行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9"/>
        </w:rPr>
        <w:t>开展，涵盖信用风险和市场风险，结合压力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6"/>
        </w:rPr>
        <w:t>情景考察宏观经济不利冲击对其</w:t>
      </w:r>
      <w:r>
        <w:rPr>
          <w:rFonts w:ascii="Times New Roman" w:hAnsi="Times New Roman" w:eastAsia="Times New Roman" w:cs="Times New Roman"/>
          <w:color w:val="231F20"/>
          <w:spacing w:val="6"/>
        </w:rPr>
        <w:t>2025</w:t>
      </w:r>
      <w:r>
        <w:rPr>
          <w:color w:val="231F20"/>
          <w:spacing w:val="6"/>
        </w:rPr>
        <w:t>年末、</w:t>
      </w:r>
      <w:r>
        <w:rPr>
          <w:color w:val="231F20"/>
          <w:spacing w:val="5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4"/>
        </w:rPr>
        <w:t>2026</w:t>
      </w:r>
      <w:r>
        <w:rPr>
          <w:color w:val="231F20"/>
          <w:spacing w:val="4"/>
        </w:rPr>
        <w:t>年末、 </w:t>
      </w:r>
      <w:r>
        <w:rPr>
          <w:rFonts w:ascii="Times New Roman" w:hAnsi="Times New Roman" w:eastAsia="Times New Roman" w:cs="Times New Roman"/>
          <w:color w:val="231F20"/>
          <w:spacing w:val="4"/>
        </w:rPr>
        <w:t>2027</w:t>
      </w:r>
      <w:r>
        <w:rPr>
          <w:color w:val="231F20"/>
          <w:spacing w:val="4"/>
        </w:rPr>
        <w:t>年末资本充足水平的影响。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27"/>
        <w:spacing w:before="48" w:line="248" w:lineRule="auto"/>
        <w:jc w:val="both"/>
        <w:rPr/>
      </w:pPr>
      <w:r>
        <w:rPr>
          <w:color w:val="231F20"/>
          <w:spacing w:val="7"/>
        </w:rPr>
        <w:t>中国人民银行根据参试银行数据，构建宏观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7"/>
        </w:rPr>
        <w:t>经济与银行信贷资产违约概率的传导模型，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测算压力情景下的资产损失准备、净利息收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入变动、债券估值损益、外汇敞口损益等，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进而评估资本充足水平受到的影响。偿付能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力敏感性压力测试考察整体及重点领域风险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状况恶化对全部参试银行资本充足水平的瞬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时不利影响。流动性风险压力测试考察政策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因素、宏观经济因素、突发因素等多种流动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性风险压力因素对全部参试银行各到期期限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的现金流缺口的影响。传染性风险压力测试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8"/>
        </w:rPr>
        <w:t>仅对资产规模较大的</w:t>
      </w:r>
      <w:r>
        <w:rPr>
          <w:rFonts w:ascii="Times New Roman" w:hAnsi="Times New Roman" w:eastAsia="Times New Roman" w:cs="Times New Roman"/>
          <w:color w:val="231F20"/>
          <w:spacing w:val="8"/>
        </w:rPr>
        <w:t>60</w:t>
      </w:r>
      <w:r>
        <w:rPr>
          <w:color w:val="231F20"/>
          <w:spacing w:val="8"/>
        </w:rPr>
        <w:t>家银行开展，考察银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9"/>
        </w:rPr>
        <w:t>行之间以及银行与非银行金融机构之间的风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5"/>
        </w:rPr>
        <w:t>险传染效应。</w:t>
      </w:r>
    </w:p>
    <w:p>
      <w:pPr>
        <w:pStyle w:val="BodyText"/>
        <w:ind w:firstLine="430"/>
        <w:spacing w:before="8" w:line="252" w:lineRule="auto"/>
        <w:rPr/>
      </w:pPr>
      <w:r>
        <w:rPr>
          <w:color w:val="231F20"/>
          <w:spacing w:val="1"/>
        </w:rPr>
        <w:t>压力情景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1"/>
          <w:position w:val="8"/>
        </w:rPr>
        <w:t>①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-2"/>
          <w:position w:val="8"/>
        </w:rPr>
        <w:t xml:space="preserve"> </w:t>
      </w:r>
      <w:r>
        <w:rPr>
          <w:color w:val="231F20"/>
          <w:spacing w:val="1"/>
        </w:rPr>
        <w:t>。偿付能力宏观情景压力测试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设置轻度、中度、重度三个压力情景，宏观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经济指标包含</w:t>
      </w:r>
      <w:r>
        <w:rPr>
          <w:rFonts w:ascii="Times New Roman" w:hAnsi="Times New Roman" w:eastAsia="Times New Roman" w:cs="Times New Roman"/>
          <w:color w:val="231F20"/>
        </w:rPr>
        <w:t>GDP</w:t>
      </w:r>
      <w:r>
        <w:rPr>
          <w:color w:val="231F20"/>
          <w:spacing w:val="3"/>
        </w:rPr>
        <w:t>同比增速（见表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）、银行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业资产规模同比增速、</w:t>
      </w:r>
      <w:r>
        <w:rPr>
          <w:color w:val="231F20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CPI</w:t>
      </w:r>
      <w:r>
        <w:rPr>
          <w:color w:val="231F20"/>
        </w:rPr>
        <w:t>涨幅、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PPI</w:t>
      </w:r>
      <w:r>
        <w:rPr>
          <w:color w:val="231F20"/>
        </w:rPr>
        <w:t>涨幅、  </w:t>
      </w:r>
      <w:r>
        <w:rPr>
          <w:rFonts w:ascii="Times New Roman" w:hAnsi="Times New Roman" w:eastAsia="Times New Roman" w:cs="Times New Roman"/>
          <w:color w:val="231F20"/>
          <w:spacing w:val="5"/>
        </w:rPr>
        <w:t>M</w:t>
      </w:r>
      <w:r>
        <w:rPr>
          <w:rFonts w:ascii="Times New Roman" w:hAnsi="Times New Roman" w:eastAsia="Times New Roman" w:cs="Times New Roman"/>
          <w:sz w:val="12"/>
          <w:szCs w:val="12"/>
          <w:color w:val="231F20"/>
          <w:spacing w:val="5"/>
          <w:position w:val="-4"/>
        </w:rPr>
        <w:t>2 </w:t>
      </w:r>
      <w:r>
        <w:rPr>
          <w:color w:val="231F20"/>
          <w:spacing w:val="5"/>
        </w:rPr>
        <w:t>同比增速、产出缺口、社会消费品零售总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额同比增速、出口金额同比增速、进口金额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同比增速、工业增加值同比增速、固定资产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完成额同比增速、多种期限的无风险利率、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人民币对美元汇率、房地产相关指标等。偿</w:t>
      </w:r>
    </w:p>
    <w:p>
      <w:pPr>
        <w:spacing w:line="252" w:lineRule="auto"/>
        <w:sectPr>
          <w:type w:val="continuous"/>
          <w:pgSz w:w="11906" w:h="16158"/>
          <w:pgMar w:top="1367" w:right="1699" w:bottom="400" w:left="1417" w:header="1044" w:footer="0" w:gutter="0"/>
          <w:cols w:equalWidth="0" w:num="2">
            <w:col w:w="4524" w:space="100"/>
            <w:col w:w="4166" w:space="0"/>
          </w:cols>
        </w:sectPr>
        <w:rPr/>
      </w:pPr>
    </w:p>
    <w:p>
      <w:pPr>
        <w:pStyle w:val="BodyText"/>
        <w:spacing w:line="265" w:lineRule="auto"/>
        <w:rPr/>
      </w:pPr>
      <w:r/>
    </w:p>
    <w:p>
      <w:pPr>
        <w:pStyle w:val="BodyText"/>
        <w:ind w:left="342"/>
        <w:spacing w:before="78" w:line="156" w:lineRule="exact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position w:val="-1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3"/>
          <w:w w:val="101"/>
          <w:position w:val="-1"/>
        </w:rPr>
        <w:t xml:space="preserve"> </w:t>
      </w:r>
      <w:r>
        <w:rPr>
          <w:sz w:val="16"/>
          <w:szCs w:val="16"/>
          <w:color w:val="231F20"/>
          <w:position w:val="-1"/>
        </w:rPr>
        <w:t>压力情景根据宏观经济计量模型设定，不代表中国人民银行对宏观经济的</w:t>
      </w:r>
      <w:r>
        <w:rPr>
          <w:sz w:val="16"/>
          <w:szCs w:val="16"/>
          <w:color w:val="231F20"/>
          <w:spacing w:val="-1"/>
          <w:position w:val="-1"/>
        </w:rPr>
        <w:t>判断。</w:t>
      </w:r>
    </w:p>
    <w:p>
      <w:pPr>
        <w:spacing w:line="156" w:lineRule="exact"/>
        <w:sectPr>
          <w:type w:val="continuous"/>
          <w:pgSz w:w="11906" w:h="16158"/>
          <w:pgMar w:top="1367" w:right="1699" w:bottom="400" w:left="1417" w:header="1044" w:footer="0" w:gutter="0"/>
          <w:cols w:equalWidth="0" w:num="1">
            <w:col w:w="8789" w:space="0"/>
          </w:cols>
        </w:sectPr>
        <w:rPr>
          <w:sz w:val="16"/>
          <w:szCs w:val="16"/>
        </w:rPr>
      </w:pPr>
    </w:p>
    <w:p>
      <w:pPr>
        <w:spacing w:before="154"/>
        <w:rPr/>
      </w:pPr>
      <w:r/>
    </w:p>
    <w:p>
      <w:pPr>
        <w:sectPr>
          <w:headerReference w:type="default" r:id="rId264"/>
          <w:pgSz w:w="11906" w:h="16158"/>
          <w:pgMar w:top="1385" w:right="1416" w:bottom="400" w:left="1700" w:header="1062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5" w:right="356" w:hanging="1"/>
        <w:spacing w:before="47" w:line="249" w:lineRule="auto"/>
        <w:jc w:val="both"/>
        <w:rPr/>
      </w:pPr>
      <w:bookmarkStart w:name="bookmark58" w:id="58"/>
      <w:bookmarkEnd w:id="58"/>
      <w:r>
        <w:rPr>
          <w:color w:val="231F20"/>
          <w:spacing w:val="9"/>
        </w:rPr>
        <w:t>付能力敏感性压力测试以整体资产质量和重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点领域的不良贷款率、客户违约的损失率等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作为压力指标（见表</w:t>
      </w:r>
      <w:r>
        <w:rPr>
          <w:rFonts w:ascii="Times New Roman" w:hAnsi="Times New Roman" w:eastAsia="Times New Roman" w:cs="Times New Roman"/>
          <w:color w:val="231F20"/>
          <w:spacing w:val="2"/>
        </w:rPr>
        <w:t>2</w:t>
      </w:r>
      <w:r>
        <w:rPr>
          <w:color w:val="231F20"/>
          <w:spacing w:val="2"/>
        </w:rPr>
        <w:t>）。流动性风险压力测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9"/>
        </w:rPr>
        <w:t>试设置轻度和重度压力情景，对不同到期期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限的表内资产负债及或有融资义务设置不同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的流入率或流失率，计算不同期限下的净现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金流缺口。传染性风险压力测试设置三个压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力情景，考察参试银行发生信用违约并撤回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同业融出资金时可能对其他参试银行造成的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风险溢出效应（见表</w:t>
      </w:r>
      <w:r>
        <w:rPr>
          <w:rFonts w:ascii="Times New Roman" w:hAnsi="Times New Roman" w:eastAsia="Times New Roman" w:cs="Times New Roman"/>
          <w:color w:val="231F20"/>
          <w:spacing w:val="-2"/>
        </w:rPr>
        <w:t>3</w:t>
      </w:r>
      <w:r>
        <w:rPr>
          <w:color w:val="231F20"/>
          <w:spacing w:val="-2"/>
        </w:rPr>
        <w:t>）。</w:t>
      </w:r>
    </w:p>
    <w:p>
      <w:pPr>
        <w:pStyle w:val="BodyText"/>
        <w:ind w:left="1" w:right="356" w:firstLine="426"/>
        <w:spacing w:before="11" w:line="249" w:lineRule="auto"/>
        <w:jc w:val="both"/>
        <w:rPr/>
      </w:pPr>
      <w:r>
        <w:rPr>
          <w:color w:val="231F20"/>
          <w:spacing w:val="6"/>
        </w:rPr>
        <w:t>基本假设。 偿付能力压力测试假设银行</w:t>
      </w:r>
      <w:r>
        <w:rPr>
          <w:color w:val="231F20"/>
          <w:spacing w:val="12"/>
          <w:w w:val="101"/>
        </w:rPr>
        <w:t xml:space="preserve"> </w:t>
      </w:r>
      <w:r>
        <w:rPr>
          <w:color w:val="231F20"/>
          <w:spacing w:val="9"/>
        </w:rPr>
        <w:t>的资产负债结构保持不变、拨备覆盖率满足</w:t>
      </w:r>
      <w:r>
        <w:rPr>
          <w:color w:val="231F20"/>
          <w:spacing w:val="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6"/>
        </w:rPr>
        <w:t>100%</w:t>
      </w:r>
      <w:r>
        <w:rPr>
          <w:color w:val="231F20"/>
          <w:spacing w:val="16"/>
        </w:rPr>
        <w:t>、所得税率为</w:t>
      </w:r>
      <w:r>
        <w:rPr>
          <w:rFonts w:ascii="Times New Roman" w:hAnsi="Times New Roman" w:eastAsia="Times New Roman" w:cs="Times New Roman"/>
          <w:color w:val="231F20"/>
          <w:spacing w:val="16"/>
        </w:rPr>
        <w:t>25%</w:t>
      </w:r>
      <w:r>
        <w:rPr>
          <w:color w:val="231F20"/>
          <w:spacing w:val="16"/>
        </w:rPr>
        <w:t>，当净利润为正且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9"/>
        </w:rPr>
        <w:t>分红后各级资本充足率仍满足监管要求时按</w:t>
      </w:r>
      <w:r>
        <w:rPr>
          <w:color w:val="231F20"/>
          <w:spacing w:val="4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30%</w:t>
      </w:r>
      <w:r>
        <w:rPr>
          <w:color w:val="231F20"/>
        </w:rPr>
        <w:t>分红，测试期间不考虑宏观政策支持、不 </w:t>
      </w:r>
      <w:r>
        <w:rPr>
          <w:color w:val="231F20"/>
          <w:spacing w:val="9"/>
        </w:rPr>
        <w:t>良贷款处置以及外源资本补充。流动性风险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压力测试假设银行持续经营，即银行不会损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害与其重要客户的关系、不会产生重大的业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务中断。传染性风险压力测试假设某参试银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行对其同业交易对手违约并撤回同业融出资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金。若其他参试银行在此过程中因同业资金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4"/>
        <w:spacing w:before="40" w:line="249" w:lineRule="auto"/>
        <w:jc w:val="both"/>
        <w:rPr/>
      </w:pPr>
      <w:r>
        <w:rPr>
          <w:color w:val="231F20"/>
          <w:spacing w:val="8"/>
        </w:rPr>
        <w:t>损失而未能通过压力测试，则该银行继续违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9"/>
        </w:rPr>
        <w:t>约并撤回资金，直至没有银行继续违约，本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轮传染过程结束。其余参试银行分别重复上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述违约冲击过程。</w:t>
      </w:r>
    </w:p>
    <w:p>
      <w:pPr>
        <w:pStyle w:val="BodyText"/>
        <w:ind w:firstLine="422"/>
        <w:spacing w:before="16" w:line="249" w:lineRule="auto"/>
        <w:jc w:val="both"/>
        <w:rPr/>
      </w:pPr>
      <w:r>
        <w:rPr>
          <w:color w:val="231F20"/>
          <w:spacing w:val="6"/>
        </w:rPr>
        <w:t>通过标准。 对于偿付能力宏观情景压力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9"/>
        </w:rPr>
        <w:t>测试，若参试银行受冲击后的核心一级资本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6"/>
        </w:rPr>
        <w:t>充足率、 一级资本充足率和资本充足率中任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7"/>
        </w:rPr>
        <w:t>何一项低于监管要求（包含</w:t>
      </w:r>
      <w:r>
        <w:rPr>
          <w:rFonts w:ascii="Times New Roman" w:hAnsi="Times New Roman" w:eastAsia="Times New Roman" w:cs="Times New Roman"/>
          <w:color w:val="231F20"/>
          <w:spacing w:val="7"/>
        </w:rPr>
        <w:t>2.5%</w:t>
      </w:r>
      <w:r>
        <w:rPr>
          <w:color w:val="231F20"/>
          <w:spacing w:val="7"/>
        </w:rPr>
        <w:t>的储备资本 </w:t>
      </w:r>
      <w:r>
        <w:rPr>
          <w:color w:val="231F20"/>
          <w:spacing w:val="15"/>
        </w:rPr>
        <w:t>要求和系统重要性银行附加资本要求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15"/>
          <w:position w:val="8"/>
        </w:rPr>
        <w:t>①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-2"/>
          <w:position w:val="8"/>
        </w:rPr>
        <w:t xml:space="preserve"> </w:t>
      </w:r>
      <w:r>
        <w:rPr>
          <w:color w:val="231F20"/>
          <w:spacing w:val="15"/>
        </w:rPr>
        <w:t>),则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未通过压力测试。对于偿付能力敏感性压力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测试，若参试银行受冲击后的各级资本充足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8"/>
        </w:rPr>
        <w:t>率低于监管要求</w:t>
      </w:r>
      <w:r>
        <w:rPr>
          <w:color w:val="231F20"/>
          <w:spacing w:val="-25"/>
        </w:rPr>
        <w:t xml:space="preserve"> 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18"/>
          <w:position w:val="8"/>
        </w:rPr>
        <w:t>② </w:t>
      </w:r>
      <w:r>
        <w:rPr>
          <w:color w:val="231F20"/>
          <w:spacing w:val="18"/>
        </w:rPr>
        <w:t>,则未通过压力测试。对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于流动性风险压力测试，当压力情景下参试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银行出现现金流缺口（现金流出超过现金流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入）时，银行应采取措施，将合格优质流动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性资产变现或质押给央行获得流动性，以弥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补缺口，若全部可动用的合格优质流动性资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产均已耗尽仍无法弥补缺口，则未通过压力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测试。对于传染性风险压力测试，若参试银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行受冲击后的核心一级资本充足率低于</w:t>
      </w:r>
      <w:r>
        <w:rPr>
          <w:rFonts w:ascii="Times New Roman" w:hAnsi="Times New Roman" w:eastAsia="Times New Roman" w:cs="Times New Roman"/>
          <w:color w:val="231F20"/>
          <w:spacing w:val="5"/>
        </w:rPr>
        <w:t>5%</w:t>
      </w:r>
      <w:r>
        <w:rPr>
          <w:color w:val="231F20"/>
          <w:spacing w:val="5"/>
        </w:rPr>
        <w:t>，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则未通过压力测试。</w:t>
      </w:r>
    </w:p>
    <w:p>
      <w:pPr>
        <w:spacing w:line="249" w:lineRule="auto"/>
        <w:sectPr>
          <w:type w:val="continuous"/>
          <w:pgSz w:w="11906" w:h="16158"/>
          <w:pgMar w:top="1385" w:right="1416" w:bottom="400" w:left="1700" w:header="1062" w:footer="0" w:gutter="0"/>
          <w:cols w:equalWidth="0" w:num="2">
            <w:col w:w="4524" w:space="100"/>
            <w:col w:w="4165" w:space="0"/>
          </w:cols>
        </w:sectPr>
        <w:rPr/>
      </w:pPr>
    </w:p>
    <w:p>
      <w:pPr>
        <w:pStyle w:val="BodyText"/>
        <w:ind w:left="415"/>
        <w:spacing w:before="147" w:line="208" w:lineRule="auto"/>
        <w:rPr/>
      </w:pPr>
      <w:r>
        <w:rPr>
          <w:color w:val="174B8B"/>
        </w:rPr>
        <w:t>表</w:t>
      </w:r>
      <w:r>
        <w:rPr>
          <w:rFonts w:ascii="Times New Roman" w:hAnsi="Times New Roman" w:eastAsia="Times New Roman" w:cs="Times New Roman"/>
          <w:b/>
          <w:bCs/>
          <w:color w:val="174B8B"/>
        </w:rPr>
        <w:t>1                             </w:t>
      </w:r>
      <w:r>
        <w:rPr>
          <w:color w:val="174B8B"/>
        </w:rPr>
        <w:t>偿付能力宏观情景压力测试中的</w:t>
      </w:r>
      <w:r>
        <w:rPr>
          <w:rFonts w:ascii="Times New Roman" w:hAnsi="Times New Roman" w:eastAsia="Times New Roman" w:cs="Times New Roman"/>
          <w:b/>
          <w:bCs/>
          <w:color w:val="174B8B"/>
        </w:rPr>
        <w:t>GDP</w:t>
      </w:r>
      <w:r>
        <w:rPr>
          <w:color w:val="174B8B"/>
        </w:rPr>
        <w:t>同比增速</w:t>
      </w:r>
    </w:p>
    <w:p>
      <w:pPr>
        <w:spacing w:line="22" w:lineRule="exact"/>
        <w:rPr/>
      </w:pPr>
      <w:r/>
    </w:p>
    <w:tbl>
      <w:tblPr>
        <w:tblStyle w:val="TableNormal"/>
        <w:tblW w:w="8787" w:type="dxa"/>
        <w:tblInd w:w="0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197"/>
        <w:gridCol w:w="2197"/>
        <w:gridCol w:w="2197"/>
        <w:gridCol w:w="2196"/>
      </w:tblGrid>
      <w:tr>
        <w:trPr>
          <w:trHeight w:val="368" w:hRule="atLeast"/>
        </w:trPr>
        <w:tc>
          <w:tcPr>
            <w:shd w:val="clear" w:fill="174B8B"/>
            <w:tcW w:w="2197" w:type="dxa"/>
            <w:vAlign w:val="top"/>
            <w:tcBorders>
              <w:left w:val="nil"/>
              <w:top w:val="nil"/>
            </w:tcBorders>
          </w:tcPr>
          <w:p>
            <w:pPr>
              <w:pStyle w:val="TableText"/>
              <w:ind w:left="929"/>
              <w:spacing w:before="84" w:line="172" w:lineRule="auto"/>
              <w:rPr/>
            </w:pPr>
            <w:r>
              <w:rPr>
                <w:color w:val="FFFFFF"/>
                <w:spacing w:val="-3"/>
              </w:rPr>
              <w:t>年份</w:t>
            </w:r>
          </w:p>
        </w:tc>
        <w:tc>
          <w:tcPr>
            <w:shd w:val="clear" w:fill="174B8B"/>
            <w:tcW w:w="2197" w:type="dxa"/>
            <w:vAlign w:val="top"/>
            <w:tcBorders>
              <w:top w:val="nil"/>
            </w:tcBorders>
          </w:tcPr>
          <w:p>
            <w:pPr>
              <w:pStyle w:val="TableText"/>
              <w:ind w:left="561"/>
              <w:spacing w:before="84" w:line="174" w:lineRule="auto"/>
              <w:rPr/>
            </w:pPr>
            <w:r>
              <w:rPr>
                <w:color w:val="FFFFFF"/>
                <w:spacing w:val="-2"/>
              </w:rPr>
              <w:t>轻度压力情景</w:t>
            </w:r>
          </w:p>
        </w:tc>
        <w:tc>
          <w:tcPr>
            <w:shd w:val="clear" w:fill="174B8B"/>
            <w:tcW w:w="2197" w:type="dxa"/>
            <w:vAlign w:val="top"/>
            <w:tcBorders>
              <w:top w:val="nil"/>
            </w:tcBorders>
          </w:tcPr>
          <w:p>
            <w:pPr>
              <w:pStyle w:val="TableText"/>
              <w:ind w:left="574"/>
              <w:spacing w:before="84" w:line="174" w:lineRule="auto"/>
              <w:rPr/>
            </w:pPr>
            <w:r>
              <w:rPr>
                <w:color w:val="FFFFFF"/>
                <w:spacing w:val="-4"/>
              </w:rPr>
              <w:t>中度压力情景</w:t>
            </w:r>
          </w:p>
        </w:tc>
        <w:tc>
          <w:tcPr>
            <w:shd w:val="clear" w:fill="174B8B"/>
            <w:tcW w:w="2196" w:type="dxa"/>
            <w:vAlign w:val="top"/>
            <w:tcBorders>
              <w:right w:val="nil"/>
              <w:top w:val="nil"/>
            </w:tcBorders>
          </w:tcPr>
          <w:p>
            <w:pPr>
              <w:pStyle w:val="TableText"/>
              <w:ind w:left="562"/>
              <w:spacing w:before="84" w:line="174" w:lineRule="auto"/>
              <w:rPr/>
            </w:pPr>
            <w:r>
              <w:rPr>
                <w:color w:val="FFFFFF"/>
                <w:spacing w:val="-2"/>
              </w:rPr>
              <w:t>重度压力情景</w:t>
            </w:r>
          </w:p>
        </w:tc>
      </w:tr>
      <w:tr>
        <w:trPr>
          <w:trHeight w:val="359" w:hRule="atLeast"/>
        </w:trPr>
        <w:tc>
          <w:tcPr>
            <w:shd w:val="clear" w:fill="D4E5F5"/>
            <w:tcW w:w="2197" w:type="dxa"/>
            <w:vAlign w:val="top"/>
            <w:tcBorders>
              <w:left w:val="nil"/>
            </w:tcBorders>
          </w:tcPr>
          <w:p>
            <w:pPr>
              <w:pStyle w:val="TableText"/>
              <w:ind w:left="924"/>
              <w:spacing w:before="69" w:line="194" w:lineRule="auto"/>
              <w:rPr/>
            </w:pPr>
            <w:r>
              <w:rPr>
                <w:color w:val="231F20"/>
                <w:spacing w:val="-9"/>
              </w:rPr>
              <w:t>2025</w:t>
            </w:r>
          </w:p>
        </w:tc>
        <w:tc>
          <w:tcPr>
            <w:shd w:val="clear" w:fill="D4E5F5"/>
            <w:tcW w:w="2197" w:type="dxa"/>
            <w:vAlign w:val="top"/>
          </w:tcPr>
          <w:p>
            <w:pPr>
              <w:pStyle w:val="TableText"/>
              <w:ind w:left="870"/>
              <w:spacing w:before="69" w:line="194" w:lineRule="auto"/>
              <w:rPr/>
            </w:pPr>
            <w:r>
              <w:rPr>
                <w:color w:val="231F20"/>
                <w:spacing w:val="-9"/>
              </w:rPr>
              <w:t>3.90%</w:t>
            </w:r>
          </w:p>
        </w:tc>
        <w:tc>
          <w:tcPr>
            <w:shd w:val="clear" w:fill="D4E5F5"/>
            <w:tcW w:w="2197" w:type="dxa"/>
            <w:vAlign w:val="top"/>
          </w:tcPr>
          <w:p>
            <w:pPr>
              <w:pStyle w:val="TableText"/>
              <w:ind w:left="869"/>
              <w:spacing w:before="69" w:line="194" w:lineRule="auto"/>
              <w:rPr/>
            </w:pPr>
            <w:r>
              <w:rPr>
                <w:color w:val="231F20"/>
                <w:spacing w:val="-9"/>
              </w:rPr>
              <w:t>3.62%</w:t>
            </w:r>
          </w:p>
        </w:tc>
        <w:tc>
          <w:tcPr>
            <w:shd w:val="clear" w:fill="D4E5F5"/>
            <w:tcW w:w="2196" w:type="dxa"/>
            <w:vAlign w:val="top"/>
            <w:tcBorders>
              <w:right w:val="nil"/>
            </w:tcBorders>
          </w:tcPr>
          <w:p>
            <w:pPr>
              <w:pStyle w:val="TableText"/>
              <w:ind w:left="866"/>
              <w:spacing w:before="69" w:line="194" w:lineRule="auto"/>
              <w:rPr/>
            </w:pPr>
            <w:r>
              <w:rPr>
                <w:color w:val="231F20"/>
                <w:spacing w:val="-9"/>
              </w:rPr>
              <w:t>2.80%</w:t>
            </w:r>
          </w:p>
        </w:tc>
      </w:tr>
      <w:tr>
        <w:trPr>
          <w:trHeight w:val="359" w:hRule="atLeast"/>
        </w:trPr>
        <w:tc>
          <w:tcPr>
            <w:shd w:val="clear" w:fill="D4E5F5"/>
            <w:tcW w:w="2197" w:type="dxa"/>
            <w:vAlign w:val="top"/>
            <w:tcBorders>
              <w:left w:val="nil"/>
            </w:tcBorders>
          </w:tcPr>
          <w:p>
            <w:pPr>
              <w:pStyle w:val="TableText"/>
              <w:ind w:left="924"/>
              <w:spacing w:before="69" w:line="194" w:lineRule="auto"/>
              <w:rPr/>
            </w:pPr>
            <w:r>
              <w:rPr>
                <w:color w:val="231F20"/>
                <w:spacing w:val="-9"/>
              </w:rPr>
              <w:t>2026</w:t>
            </w:r>
          </w:p>
        </w:tc>
        <w:tc>
          <w:tcPr>
            <w:shd w:val="clear" w:fill="D4E5F5"/>
            <w:tcW w:w="2197" w:type="dxa"/>
            <w:vAlign w:val="top"/>
          </w:tcPr>
          <w:p>
            <w:pPr>
              <w:pStyle w:val="TableText"/>
              <w:ind w:left="870"/>
              <w:spacing w:before="69" w:line="194" w:lineRule="auto"/>
              <w:rPr/>
            </w:pPr>
            <w:r>
              <w:rPr>
                <w:color w:val="231F20"/>
                <w:spacing w:val="-9"/>
              </w:rPr>
              <w:t>3.10%</w:t>
            </w:r>
          </w:p>
        </w:tc>
        <w:tc>
          <w:tcPr>
            <w:shd w:val="clear" w:fill="D4E5F5"/>
            <w:tcW w:w="2197" w:type="dxa"/>
            <w:vAlign w:val="top"/>
          </w:tcPr>
          <w:p>
            <w:pPr>
              <w:pStyle w:val="TableText"/>
              <w:ind w:left="867"/>
              <w:spacing w:before="69" w:line="194" w:lineRule="auto"/>
              <w:rPr/>
            </w:pPr>
            <w:r>
              <w:rPr>
                <w:color w:val="231F20"/>
                <w:spacing w:val="-9"/>
              </w:rPr>
              <w:t>2.80%</w:t>
            </w:r>
          </w:p>
        </w:tc>
        <w:tc>
          <w:tcPr>
            <w:shd w:val="clear" w:fill="D4E5F5"/>
            <w:tcW w:w="2196" w:type="dxa"/>
            <w:vAlign w:val="top"/>
            <w:tcBorders>
              <w:right w:val="nil"/>
            </w:tcBorders>
          </w:tcPr>
          <w:p>
            <w:pPr>
              <w:pStyle w:val="TableText"/>
              <w:ind w:left="866"/>
              <w:spacing w:before="69" w:line="194" w:lineRule="auto"/>
              <w:rPr/>
            </w:pPr>
            <w:r>
              <w:rPr>
                <w:color w:val="231F20"/>
                <w:spacing w:val="-9"/>
              </w:rPr>
              <w:t>2.17%</w:t>
            </w:r>
          </w:p>
        </w:tc>
      </w:tr>
      <w:tr>
        <w:trPr>
          <w:trHeight w:val="358" w:hRule="atLeast"/>
        </w:trPr>
        <w:tc>
          <w:tcPr>
            <w:shd w:val="clear" w:fill="D4E5F5"/>
            <w:tcW w:w="2197" w:type="dxa"/>
            <w:vAlign w:val="top"/>
            <w:tcBorders>
              <w:left w:val="nil"/>
              <w:bottom w:val="nil"/>
            </w:tcBorders>
          </w:tcPr>
          <w:p>
            <w:pPr>
              <w:pStyle w:val="TableText"/>
              <w:ind w:left="924"/>
              <w:spacing w:before="68" w:line="194" w:lineRule="auto"/>
              <w:rPr/>
            </w:pPr>
            <w:r>
              <w:rPr>
                <w:color w:val="231F20"/>
                <w:spacing w:val="-9"/>
              </w:rPr>
              <w:t>2027</w:t>
            </w:r>
          </w:p>
        </w:tc>
        <w:tc>
          <w:tcPr>
            <w:shd w:val="clear" w:fill="D4E5F5"/>
            <w:tcW w:w="2197" w:type="dxa"/>
            <w:vAlign w:val="top"/>
            <w:tcBorders>
              <w:bottom w:val="nil"/>
            </w:tcBorders>
          </w:tcPr>
          <w:p>
            <w:pPr>
              <w:pStyle w:val="TableText"/>
              <w:ind w:left="870"/>
              <w:spacing w:before="68" w:line="194" w:lineRule="auto"/>
              <w:rPr/>
            </w:pPr>
            <w:r>
              <w:rPr>
                <w:color w:val="231F20"/>
                <w:spacing w:val="-9"/>
              </w:rPr>
              <w:t>3.20%</w:t>
            </w:r>
          </w:p>
        </w:tc>
        <w:tc>
          <w:tcPr>
            <w:shd w:val="clear" w:fill="D4E5F5"/>
            <w:tcW w:w="2197" w:type="dxa"/>
            <w:vAlign w:val="top"/>
            <w:tcBorders>
              <w:bottom w:val="nil"/>
            </w:tcBorders>
          </w:tcPr>
          <w:p>
            <w:pPr>
              <w:pStyle w:val="TableText"/>
              <w:ind w:left="867"/>
              <w:spacing w:before="68" w:line="194" w:lineRule="auto"/>
              <w:rPr/>
            </w:pPr>
            <w:r>
              <w:rPr>
                <w:color w:val="231F20"/>
                <w:spacing w:val="-9"/>
              </w:rPr>
              <w:t>2.20%</w:t>
            </w:r>
          </w:p>
        </w:tc>
        <w:tc>
          <w:tcPr>
            <w:shd w:val="clear" w:fill="D4E5F5"/>
            <w:tcW w:w="2196" w:type="dxa"/>
            <w:vAlign w:val="top"/>
            <w:tcBorders>
              <w:bottom w:val="nil"/>
              <w:right w:val="nil"/>
            </w:tcBorders>
          </w:tcPr>
          <w:p>
            <w:pPr>
              <w:pStyle w:val="TableText"/>
              <w:ind w:left="881"/>
              <w:spacing w:before="68" w:line="194" w:lineRule="auto"/>
              <w:rPr/>
            </w:pPr>
            <w:r>
              <w:rPr>
                <w:color w:val="231F20"/>
                <w:spacing w:val="-12"/>
              </w:rPr>
              <w:t>1.70%</w:t>
            </w:r>
          </w:p>
        </w:tc>
      </w:tr>
    </w:tbl>
    <w:p>
      <w:pPr>
        <w:ind w:left="357"/>
        <w:spacing w:before="142" w:line="221" w:lineRule="auto"/>
        <w:rPr>
          <w:rFonts w:ascii="FangSong" w:hAnsi="FangSong" w:eastAsia="FangSong" w:cs="FangSong"/>
          <w:sz w:val="18"/>
          <w:szCs w:val="18"/>
        </w:rPr>
      </w:pPr>
      <w:r>
        <w:pict>
          <v:shape id="_x0000_s182" style="position:absolute;margin-left:0.250397pt;margin-top:31.99pt;mso-position-vertical-relative:text;mso-position-horizontal-relative:text;width:90.75pt;height:0.5pt;z-index:252432384;" filled="false" strokecolor="#231F20" strokeweight="0.50pt" coordsize="1815,10" coordorigin="0,0" path="m0,5l1814,5e">
            <v:stroke joinstyle="miter" miterlimit="10"/>
          </v:shape>
        </w:pict>
      </w:r>
      <w:r>
        <w:rPr>
          <w:rFonts w:ascii="FangSong" w:hAnsi="FangSong" w:eastAsia="FangSong" w:cs="FangSong"/>
          <w:sz w:val="18"/>
          <w:szCs w:val="18"/>
          <w:color w:val="231F20"/>
          <w:spacing w:val="-2"/>
        </w:rPr>
        <w:t>注：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GDP</w:t>
      </w:r>
      <w:r>
        <w:rPr>
          <w:rFonts w:ascii="FangSong" w:hAnsi="FangSong" w:eastAsia="FangSong" w:cs="FangSong"/>
          <w:sz w:val="18"/>
          <w:szCs w:val="18"/>
          <w:color w:val="231F20"/>
          <w:spacing w:val="-2"/>
        </w:rPr>
        <w:t>增速和其他宏观指标依据宏观经济计量模型设定。</w:t>
      </w:r>
    </w:p>
    <w:p>
      <w:pPr>
        <w:pStyle w:val="BodyText"/>
        <w:ind w:left="16" w:right="1" w:firstLine="326"/>
        <w:spacing w:before="422" w:line="181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1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40"/>
        </w:rPr>
        <w:t xml:space="preserve"> </w:t>
      </w:r>
      <w:r>
        <w:rPr>
          <w:sz w:val="16"/>
          <w:szCs w:val="16"/>
          <w:color w:val="231F20"/>
          <w:spacing w:val="1"/>
        </w:rPr>
        <w:t>系统重要性银行资本监管要求包含附加资本要求，由核心一级资本满足。对于同时入选全球</w:t>
      </w:r>
      <w:r>
        <w:rPr>
          <w:sz w:val="16"/>
          <w:szCs w:val="16"/>
          <w:color w:val="231F20"/>
        </w:rPr>
        <w:t>系统重要性银行和D-SIBs </w:t>
      </w:r>
      <w:r>
        <w:rPr>
          <w:sz w:val="16"/>
          <w:szCs w:val="16"/>
          <w:color w:val="231F20"/>
          <w:spacing w:val="-2"/>
        </w:rPr>
        <w:t>的，按“孰高”原则确定附加资本要求。</w:t>
      </w:r>
    </w:p>
    <w:p>
      <w:pPr>
        <w:pStyle w:val="BodyText"/>
        <w:ind w:left="2" w:firstLine="339"/>
        <w:spacing w:before="15" w:line="164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1"/>
        </w:rPr>
        <w:t>②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37"/>
          <w:w w:val="101"/>
        </w:rPr>
        <w:t xml:space="preserve"> </w:t>
      </w:r>
      <w:r>
        <w:rPr>
          <w:sz w:val="16"/>
          <w:szCs w:val="16"/>
          <w:color w:val="231F20"/>
          <w:spacing w:val="1"/>
        </w:rPr>
        <w:t>对于《商业银行资本管理办法》定义的第三档银行，没有一级资本充足率要求，其核心一级资本充足率、资本充足率</w:t>
      </w:r>
      <w:r>
        <w:rPr>
          <w:sz w:val="16"/>
          <w:szCs w:val="16"/>
          <w:color w:val="231F20"/>
        </w:rPr>
        <w:t xml:space="preserve"> </w:t>
      </w:r>
      <w:r>
        <w:rPr>
          <w:sz w:val="16"/>
          <w:szCs w:val="16"/>
          <w:color w:val="231F20"/>
          <w:spacing w:val="-5"/>
        </w:rPr>
        <w:t>监管要求分别为7.5%、8.5%。</w:t>
      </w:r>
    </w:p>
    <w:p>
      <w:pPr>
        <w:spacing w:line="164" w:lineRule="auto"/>
        <w:sectPr>
          <w:type w:val="continuous"/>
          <w:pgSz w:w="11906" w:h="16158"/>
          <w:pgMar w:top="1385" w:right="1416" w:bottom="400" w:left="1700" w:header="1062" w:footer="0" w:gutter="0"/>
          <w:cols w:equalWidth="0" w:num="1">
            <w:col w:w="8789" w:space="0"/>
          </w:cols>
        </w:sectPr>
        <w:rPr>
          <w:sz w:val="16"/>
          <w:szCs w:val="16"/>
        </w:rPr>
      </w:pPr>
    </w:p>
    <w:p>
      <w:pPr>
        <w:pStyle w:val="BodyText"/>
        <w:spacing w:line="293" w:lineRule="auto"/>
        <w:rPr/>
      </w:pPr>
      <w:r/>
    </w:p>
    <w:p>
      <w:pPr>
        <w:pStyle w:val="BodyText"/>
        <w:ind w:left="415"/>
        <w:spacing w:before="102" w:line="208" w:lineRule="auto"/>
        <w:rPr/>
      </w:pPr>
      <w:r>
        <w:rPr>
          <w:color w:val="174B8B"/>
          <w:spacing w:val="-1"/>
        </w:rPr>
        <w:t>表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2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 xml:space="preserve">                                        </w:t>
      </w:r>
      <w:r>
        <w:rPr>
          <w:rFonts w:ascii="Times New Roman" w:hAnsi="Times New Roman" w:eastAsia="Times New Roman" w:cs="Times New Roman"/>
          <w:b/>
          <w:bCs/>
          <w:color w:val="174B8B"/>
        </w:rPr>
        <w:t xml:space="preserve">   </w:t>
      </w:r>
      <w:r>
        <w:rPr>
          <w:color w:val="174B8B"/>
          <w:spacing w:val="-1"/>
        </w:rPr>
        <w:t>偿付能力敏感性压力测试情景</w:t>
      </w:r>
    </w:p>
    <w:p>
      <w:pPr>
        <w:spacing w:line="22" w:lineRule="exact"/>
        <w:rPr/>
      </w:pPr>
      <w:r/>
    </w:p>
    <w:tbl>
      <w:tblPr>
        <w:tblStyle w:val="TableNormal"/>
        <w:tblW w:w="8777" w:type="dxa"/>
        <w:tblInd w:w="5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2067"/>
        <w:gridCol w:w="6710"/>
      </w:tblGrid>
      <w:tr>
        <w:trPr>
          <w:trHeight w:val="391" w:hRule="atLeast"/>
        </w:trPr>
        <w:tc>
          <w:tcPr>
            <w:shd w:val="clear" w:fill="174B8B"/>
            <w:tcW w:w="2067" w:type="dxa"/>
            <w:vAlign w:val="top"/>
          </w:tcPr>
          <w:p>
            <w:pPr>
              <w:pStyle w:val="TableText"/>
              <w:ind w:left="672"/>
              <w:spacing w:before="92" w:line="177" w:lineRule="auto"/>
              <w:rPr/>
            </w:pPr>
            <w:r>
              <w:rPr>
                <w:color w:val="FFFFFF"/>
                <w:spacing w:val="-1"/>
              </w:rPr>
              <w:t>风险类型</w:t>
            </w:r>
          </w:p>
        </w:tc>
        <w:tc>
          <w:tcPr>
            <w:shd w:val="clear" w:fill="174B8B"/>
            <w:tcW w:w="6710" w:type="dxa"/>
            <w:vAlign w:val="top"/>
          </w:tcPr>
          <w:p>
            <w:pPr>
              <w:pStyle w:val="TableText"/>
              <w:ind w:left="2992"/>
              <w:spacing w:before="93" w:line="174" w:lineRule="auto"/>
              <w:rPr/>
            </w:pPr>
            <w:r>
              <w:rPr>
                <w:color w:val="FFFFFF"/>
                <w:spacing w:val="-1"/>
              </w:rPr>
              <w:t>压力情景</w:t>
            </w:r>
          </w:p>
        </w:tc>
      </w:tr>
      <w:tr>
        <w:trPr>
          <w:trHeight w:val="1325" w:hRule="atLeast"/>
        </w:trPr>
        <w:tc>
          <w:tcPr>
            <w:shd w:val="clear" w:fill="D4E5F5"/>
            <w:tcW w:w="2067" w:type="dxa"/>
            <w:vAlign w:val="top"/>
          </w:tcPr>
          <w:p>
            <w:pPr>
              <w:pStyle w:val="TableText"/>
              <w:spacing w:line="278" w:lineRule="auto"/>
              <w:rPr>
                <w:sz w:val="21"/>
              </w:rPr>
            </w:pPr>
            <w:r/>
          </w:p>
          <w:p>
            <w:pPr>
              <w:pStyle w:val="TableText"/>
              <w:ind w:left="312"/>
              <w:spacing w:before="87" w:line="178" w:lineRule="auto"/>
              <w:rPr/>
            </w:pPr>
            <w:r>
              <w:rPr>
                <w:color w:val="231F20"/>
                <w:spacing w:val="-1"/>
              </w:rPr>
              <w:t>整体资产质量风险</w:t>
            </w:r>
          </w:p>
        </w:tc>
        <w:tc>
          <w:tcPr>
            <w:shd w:val="clear" w:fill="D4E5F5"/>
            <w:tcW w:w="6710" w:type="dxa"/>
            <w:vAlign w:val="top"/>
          </w:tcPr>
          <w:p>
            <w:pPr>
              <w:pStyle w:val="TableText"/>
              <w:ind w:left="105"/>
              <w:spacing w:before="76"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20" name="IM 5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0" name="IM 520"/>
                          <pic:cNvPicPr/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33"/>
                <w:w w:val="102"/>
              </w:rPr>
              <w:t xml:space="preserve"> </w:t>
            </w:r>
            <w:r>
              <w:rPr>
                <w:color w:val="231F20"/>
                <w:spacing w:val="-5"/>
              </w:rPr>
              <w:t>冲击1：整体不良资产率上升100%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22" name="IM 5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2" name="IM 522"/>
                          <pic:cNvPicPr/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33"/>
                <w:w w:val="102"/>
              </w:rPr>
              <w:t xml:space="preserve"> </w:t>
            </w:r>
            <w:r>
              <w:rPr>
                <w:color w:val="231F20"/>
                <w:spacing w:val="-5"/>
              </w:rPr>
              <w:t>冲击2：整体不良资产率上升200%</w:t>
            </w:r>
          </w:p>
          <w:p>
            <w:pPr>
              <w:pStyle w:val="TableText"/>
              <w:ind w:left="105"/>
              <w:spacing w:line="167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24" name="IM 5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4" name="IM 524"/>
                          <pic:cNvPicPr/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33"/>
                <w:w w:val="102"/>
              </w:rPr>
              <w:t xml:space="preserve"> </w:t>
            </w:r>
            <w:r>
              <w:rPr>
                <w:color w:val="231F20"/>
                <w:spacing w:val="-5"/>
              </w:rPr>
              <w:t>冲击3：整体不良资产率上升400%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26" name="IM 5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6" name="IM 526"/>
                          <pic:cNvPicPr/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18"/>
                <w:w w:val="101"/>
              </w:rPr>
              <w:t xml:space="preserve"> </w:t>
            </w:r>
            <w:r>
              <w:rPr>
                <w:color w:val="231F20"/>
                <w:spacing w:val="-3"/>
              </w:rPr>
              <w:t>冲击4：50%的关注类资产转移至不良资产</w:t>
            </w:r>
          </w:p>
          <w:p>
            <w:pPr>
              <w:pStyle w:val="TableText"/>
              <w:ind w:left="105"/>
              <w:spacing w:line="177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28" name="IM 5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8" name="IM 528"/>
                          <pic:cNvPicPr/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32"/>
              </w:rPr>
              <w:t xml:space="preserve"> </w:t>
            </w:r>
            <w:r>
              <w:rPr>
                <w:color w:val="231F20"/>
                <w:spacing w:val="-4"/>
              </w:rPr>
              <w:t>冲击5：100%的关注类资产转移至不良资产</w:t>
            </w:r>
          </w:p>
        </w:tc>
      </w:tr>
      <w:tr>
        <w:trPr>
          <w:trHeight w:val="846" w:hRule="atLeast"/>
        </w:trPr>
        <w:tc>
          <w:tcPr>
            <w:shd w:val="clear" w:fill="D4E5F5"/>
            <w:tcW w:w="2067" w:type="dxa"/>
            <w:vAlign w:val="top"/>
          </w:tcPr>
          <w:p>
            <w:pPr>
              <w:pStyle w:val="TableText"/>
              <w:ind w:left="128"/>
              <w:spacing w:before="318" w:line="179" w:lineRule="auto"/>
              <w:rPr/>
            </w:pPr>
            <w:r>
              <w:rPr>
                <w:color w:val="231F20"/>
                <w:spacing w:val="-1"/>
              </w:rPr>
              <w:t>逾展期、重组贷款风险</w:t>
            </w:r>
          </w:p>
        </w:tc>
        <w:tc>
          <w:tcPr>
            <w:shd w:val="clear" w:fill="D4E5F5"/>
            <w:tcW w:w="6710" w:type="dxa"/>
            <w:vAlign w:val="top"/>
          </w:tcPr>
          <w:p>
            <w:pPr>
              <w:pStyle w:val="TableText"/>
              <w:ind w:left="105"/>
              <w:spacing w:before="79"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30" name="IM 5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0" name="IM 530"/>
                          <pic:cNvPicPr/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18"/>
                <w:w w:val="101"/>
              </w:rPr>
              <w:t xml:space="preserve"> </w:t>
            </w:r>
            <w:r>
              <w:rPr>
                <w:color w:val="231F20"/>
                <w:spacing w:val="-1"/>
              </w:rPr>
              <w:t>冲击1：逾期且未计入不良的贷款全部转入不良</w:t>
            </w:r>
            <w:r>
              <w:rPr>
                <w:color w:val="231F20"/>
                <w:spacing w:val="-2"/>
              </w:rPr>
              <w:t>贷款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32" name="IM 5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2" name="IM 532"/>
                          <pic:cNvPicPr/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18"/>
                <w:w w:val="101"/>
              </w:rPr>
              <w:t xml:space="preserve"> </w:t>
            </w:r>
            <w:r>
              <w:rPr>
                <w:color w:val="231F20"/>
                <w:spacing w:val="-1"/>
              </w:rPr>
              <w:t>冲击2：未计入不良的重组贷款全部转入不</w:t>
            </w:r>
            <w:r>
              <w:rPr>
                <w:color w:val="231F20"/>
                <w:spacing w:val="-2"/>
              </w:rPr>
              <w:t>良贷款</w:t>
            </w:r>
          </w:p>
          <w:p>
            <w:pPr>
              <w:pStyle w:val="TableText"/>
              <w:ind w:left="105"/>
              <w:spacing w:before="1" w:line="178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34" name="IM 5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4" name="IM 534"/>
                          <pic:cNvPicPr/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18"/>
                <w:w w:val="101"/>
              </w:rPr>
              <w:t xml:space="preserve"> </w:t>
            </w:r>
            <w:r>
              <w:rPr>
                <w:color w:val="231F20"/>
                <w:spacing w:val="-1"/>
              </w:rPr>
              <w:t>冲击3：未计入不良的展期贷款全部转入不</w:t>
            </w:r>
            <w:r>
              <w:rPr>
                <w:color w:val="231F20"/>
                <w:spacing w:val="-2"/>
              </w:rPr>
              <w:t>良贷款</w:t>
            </w:r>
          </w:p>
        </w:tc>
      </w:tr>
      <w:tr>
        <w:trPr>
          <w:trHeight w:val="846" w:hRule="atLeast"/>
        </w:trPr>
        <w:tc>
          <w:tcPr>
            <w:shd w:val="clear" w:fill="D4E5F5"/>
            <w:tcW w:w="2067" w:type="dxa"/>
            <w:vAlign w:val="top"/>
          </w:tcPr>
          <w:p>
            <w:pPr>
              <w:pStyle w:val="TableText"/>
              <w:ind w:left="581" w:right="129" w:hanging="433"/>
              <w:spacing w:before="203" w:line="185" w:lineRule="auto"/>
              <w:rPr/>
            </w:pPr>
            <w:r>
              <w:rPr>
                <w:color w:val="231F20"/>
                <w:spacing w:val="-3"/>
              </w:rPr>
              <w:t>中小微企业及个人非住</w:t>
            </w:r>
            <w:r>
              <w:rPr>
                <w:color w:val="231F20"/>
                <w:spacing w:val="7"/>
              </w:rPr>
              <w:t xml:space="preserve"> </w:t>
            </w:r>
            <w:r>
              <w:rPr>
                <w:color w:val="231F20"/>
                <w:spacing w:val="-1"/>
              </w:rPr>
              <w:t>房贷款风险</w:t>
            </w:r>
          </w:p>
        </w:tc>
        <w:tc>
          <w:tcPr>
            <w:shd w:val="clear" w:fill="D4E5F5"/>
            <w:tcW w:w="6710" w:type="dxa"/>
            <w:vAlign w:val="top"/>
          </w:tcPr>
          <w:p>
            <w:pPr>
              <w:pStyle w:val="TableText"/>
              <w:ind w:left="105"/>
              <w:spacing w:before="80"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36" name="IM 5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6" name="IM 536"/>
                          <pic:cNvPicPr/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  <w:spacing w:val="-4"/>
              </w:rPr>
              <w:t>冲击1：普惠型小微贷款不良率上升400%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38" name="IM 5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38" name="IM 538"/>
                          <pic:cNvPicPr/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4"/>
              </w:rPr>
              <w:t xml:space="preserve"> </w:t>
            </w:r>
            <w:r>
              <w:rPr>
                <w:color w:val="231F20"/>
                <w:spacing w:val="-4"/>
              </w:rPr>
              <w:t>冲击2：个人消费贷款不良率上升400%</w:t>
            </w:r>
          </w:p>
          <w:p>
            <w:pPr>
              <w:pStyle w:val="TableText"/>
              <w:ind w:left="105"/>
              <w:spacing w:before="1" w:line="178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40" name="IM 5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0" name="IM 540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spacing w:val="-3"/>
              </w:rPr>
              <w:t>冲击3：中小微企业及个人非住房贷款不良率上升400%</w:t>
            </w:r>
          </w:p>
        </w:tc>
      </w:tr>
      <w:tr>
        <w:trPr>
          <w:trHeight w:val="1565" w:hRule="atLeast"/>
        </w:trPr>
        <w:tc>
          <w:tcPr>
            <w:shd w:val="clear" w:fill="D4E5F5"/>
            <w:tcW w:w="2067" w:type="dxa"/>
            <w:vAlign w:val="top"/>
          </w:tcPr>
          <w:p>
            <w:pPr>
              <w:pStyle w:val="TableText"/>
              <w:spacing w:line="353" w:lineRule="auto"/>
              <w:rPr>
                <w:sz w:val="21"/>
              </w:rPr>
            </w:pPr>
            <w:r/>
          </w:p>
          <w:p>
            <w:pPr>
              <w:pStyle w:val="TableText"/>
              <w:ind w:left="404"/>
              <w:spacing w:before="88" w:line="177" w:lineRule="auto"/>
              <w:rPr/>
            </w:pPr>
            <w:r>
              <w:rPr>
                <w:color w:val="231F20"/>
                <w:spacing w:val="-1"/>
              </w:rPr>
              <w:t>客户集中度风险</w:t>
            </w:r>
          </w:p>
        </w:tc>
        <w:tc>
          <w:tcPr>
            <w:shd w:val="clear" w:fill="D4E5F5"/>
            <w:tcW w:w="6710" w:type="dxa"/>
            <w:vAlign w:val="top"/>
          </w:tcPr>
          <w:p>
            <w:pPr>
              <w:pStyle w:val="TableText"/>
              <w:ind w:left="105"/>
              <w:spacing w:before="82"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42" name="IM 5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2" name="IM 542"/>
                          <pic:cNvPicPr/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  <w:spacing w:val="-3"/>
              </w:rPr>
              <w:t>冲击1：最大1家非同业单一客户违约，违约损失率为60%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44" name="IM 5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4" name="IM 544"/>
                          <pic:cNvPicPr/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  <w:spacing w:val="-3"/>
              </w:rPr>
              <w:t>冲击2：最大3家非同业单一客户违约，违约损失率为60%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46" name="IM 5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6" name="IM 546"/>
                          <pic:cNvPicPr/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8"/>
              </w:rPr>
              <w:t xml:space="preserve"> </w:t>
            </w:r>
            <w:r>
              <w:rPr>
                <w:color w:val="231F20"/>
                <w:spacing w:val="-3"/>
              </w:rPr>
              <w:t>冲击3：最大5家非同业单一客户违约，违约损失率为60%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48" name="IM 5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8" name="IM 548"/>
                          <pic:cNvPicPr/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18"/>
                <w:w w:val="101"/>
              </w:rPr>
              <w:t xml:space="preserve"> </w:t>
            </w:r>
            <w:r>
              <w:rPr>
                <w:color w:val="231F20"/>
                <w:spacing w:val="-2"/>
              </w:rPr>
              <w:t>冲击4：最大1家非同业集团及经济依存客户违约，违</w:t>
            </w:r>
            <w:r>
              <w:rPr>
                <w:color w:val="231F20"/>
                <w:spacing w:val="-3"/>
              </w:rPr>
              <w:t>约损失率为60%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50" name="IM 5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0" name="IM 550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18"/>
                <w:w w:val="101"/>
              </w:rPr>
              <w:t xml:space="preserve"> </w:t>
            </w:r>
            <w:r>
              <w:rPr>
                <w:color w:val="231F20"/>
                <w:spacing w:val="-2"/>
              </w:rPr>
              <w:t>冲击5：最大3家非同业集团及经济依存客户违约，违</w:t>
            </w:r>
            <w:r>
              <w:rPr>
                <w:color w:val="231F20"/>
                <w:spacing w:val="-3"/>
              </w:rPr>
              <w:t>约损失率为60%</w:t>
            </w:r>
          </w:p>
          <w:p>
            <w:pPr>
              <w:pStyle w:val="TableText"/>
              <w:ind w:left="105"/>
              <w:spacing w:before="1" w:line="175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52" name="IM 5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2" name="IM 552"/>
                          <pic:cNvPicPr/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18"/>
                <w:w w:val="101"/>
              </w:rPr>
              <w:t xml:space="preserve"> </w:t>
            </w:r>
            <w:r>
              <w:rPr>
                <w:color w:val="231F20"/>
                <w:spacing w:val="-2"/>
              </w:rPr>
              <w:t>冲击6：最大5家非同业集团及经济依存客户违约，违</w:t>
            </w:r>
            <w:r>
              <w:rPr>
                <w:color w:val="231F20"/>
                <w:spacing w:val="-3"/>
              </w:rPr>
              <w:t>约损失率为60%</w:t>
            </w:r>
          </w:p>
        </w:tc>
      </w:tr>
      <w:tr>
        <w:trPr>
          <w:trHeight w:val="846" w:hRule="atLeast"/>
        </w:trPr>
        <w:tc>
          <w:tcPr>
            <w:shd w:val="clear" w:fill="D4E5F5"/>
            <w:tcW w:w="2067" w:type="dxa"/>
            <w:vAlign w:val="top"/>
          </w:tcPr>
          <w:p>
            <w:pPr>
              <w:pStyle w:val="TableText"/>
              <w:ind w:left="147"/>
              <w:spacing w:before="323" w:line="179" w:lineRule="auto"/>
              <w:rPr/>
            </w:pPr>
            <w:r>
              <w:rPr>
                <w:color w:val="231F20"/>
                <w:spacing w:val="-2"/>
              </w:rPr>
              <w:t>同业交易对手信用风险</w:t>
            </w:r>
          </w:p>
        </w:tc>
        <w:tc>
          <w:tcPr>
            <w:shd w:val="clear" w:fill="D4E5F5"/>
            <w:tcW w:w="6710" w:type="dxa"/>
            <w:vAlign w:val="top"/>
          </w:tcPr>
          <w:p>
            <w:pPr>
              <w:pStyle w:val="TableText"/>
              <w:ind w:left="105"/>
              <w:spacing w:before="84"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54" name="IM 5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4" name="IM 554"/>
                          <pic:cNvPicPr/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spacing w:val="-3"/>
              </w:rPr>
              <w:t>冲击1：最大1家同业交易对手违约，违约损失率为60%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56" name="IM 5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6" name="IM 556"/>
                          <pic:cNvPicPr/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spacing w:val="-3"/>
              </w:rPr>
              <w:t>冲击2：最大3家同业交易对手违约，违约损失率为60%</w:t>
            </w:r>
          </w:p>
          <w:p>
            <w:pPr>
              <w:pStyle w:val="TableText"/>
              <w:ind w:left="105"/>
              <w:spacing w:line="175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58" name="IM 5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58" name="IM 558"/>
                          <pic:cNvPicPr/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5"/>
              </w:rPr>
              <w:t xml:space="preserve"> </w:t>
            </w:r>
            <w:r>
              <w:rPr>
                <w:color w:val="231F20"/>
                <w:spacing w:val="-3"/>
              </w:rPr>
              <w:t>冲击3：最大5家同业交易对手违约，违约损失率为60%</w:t>
            </w:r>
          </w:p>
        </w:tc>
      </w:tr>
      <w:tr>
        <w:trPr>
          <w:trHeight w:val="851" w:hRule="atLeast"/>
        </w:trPr>
        <w:tc>
          <w:tcPr>
            <w:shd w:val="clear" w:fill="D4E5F5"/>
            <w:tcW w:w="2067" w:type="dxa"/>
            <w:vAlign w:val="top"/>
          </w:tcPr>
          <w:p>
            <w:pPr>
              <w:pStyle w:val="TableText"/>
              <w:ind w:left="312"/>
              <w:spacing w:before="324" w:line="179" w:lineRule="auto"/>
              <w:rPr/>
            </w:pPr>
            <w:r>
              <w:rPr>
                <w:color w:val="231F20"/>
                <w:spacing w:val="-1"/>
              </w:rPr>
              <w:t>表外业务信用风险</w:t>
            </w:r>
          </w:p>
        </w:tc>
        <w:tc>
          <w:tcPr>
            <w:shd w:val="clear" w:fill="D4E5F5"/>
            <w:tcW w:w="6710" w:type="dxa"/>
            <w:vAlign w:val="top"/>
          </w:tcPr>
          <w:p>
            <w:pPr>
              <w:pStyle w:val="TableText"/>
              <w:ind w:left="105"/>
              <w:spacing w:before="84"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60" name="IM 5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0" name="IM 560"/>
                          <pic:cNvPicPr/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3"/>
                <w:w w:val="102"/>
              </w:rPr>
              <w:t xml:space="preserve"> </w:t>
            </w:r>
            <w:r>
              <w:rPr>
                <w:color w:val="231F20"/>
                <w:spacing w:val="-3"/>
              </w:rPr>
              <w:t>冲击1：发生垫款的表外业务敞口余额占比30%</w:t>
            </w:r>
          </w:p>
          <w:p>
            <w:pPr>
              <w:pStyle w:val="TableText"/>
              <w:ind w:left="105"/>
              <w:spacing w:line="166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62" name="IM 5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2" name="IM 562"/>
                          <pic:cNvPicPr/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3"/>
                <w:w w:val="102"/>
              </w:rPr>
              <w:t xml:space="preserve"> </w:t>
            </w:r>
            <w:r>
              <w:rPr>
                <w:color w:val="231F20"/>
                <w:spacing w:val="-3"/>
              </w:rPr>
              <w:t>冲击2：发生垫款的表外业务敞口余额占比40%</w:t>
            </w:r>
          </w:p>
          <w:p>
            <w:pPr>
              <w:pStyle w:val="TableText"/>
              <w:ind w:left="105"/>
              <w:spacing w:before="1" w:line="179" w:lineRule="auto"/>
              <w:rPr/>
            </w:pPr>
            <w:r>
              <w:rPr>
                <w:color w:val="231F20"/>
              </w:rPr>
              <w:drawing>
                <wp:inline distT="0" distB="0" distL="0" distR="0">
                  <wp:extent cx="67716" cy="78333"/>
                  <wp:effectExtent l="0" t="0" r="0" b="0"/>
                  <wp:docPr id="564" name="IM 5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4" name="IM 564"/>
                          <pic:cNvPicPr/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7716" cy="7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231F20"/>
                <w:spacing w:val="23"/>
                <w:w w:val="102"/>
              </w:rPr>
              <w:t xml:space="preserve"> </w:t>
            </w:r>
            <w:r>
              <w:rPr>
                <w:color w:val="231F20"/>
                <w:spacing w:val="-3"/>
              </w:rPr>
              <w:t>冲击3：发生垫款的表外业务敞口余额占比50%</w:t>
            </w:r>
          </w:p>
        </w:tc>
      </w:tr>
    </w:tbl>
    <w:p>
      <w:pPr>
        <w:pStyle w:val="BodyText"/>
        <w:ind w:left="415"/>
        <w:spacing w:before="205" w:line="208" w:lineRule="auto"/>
        <w:rPr/>
      </w:pPr>
      <w:r>
        <w:rPr>
          <w:color w:val="174B8B"/>
          <w:spacing w:val="-1"/>
        </w:rPr>
        <w:t>表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3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 xml:space="preserve">                                      </w:t>
      </w:r>
      <w:r>
        <w:rPr>
          <w:rFonts w:ascii="Times New Roman" w:hAnsi="Times New Roman" w:eastAsia="Times New Roman" w:cs="Times New Roman"/>
          <w:b/>
          <w:bCs/>
          <w:color w:val="174B8B"/>
        </w:rPr>
        <w:t xml:space="preserve">         </w:t>
      </w:r>
      <w:r>
        <w:rPr>
          <w:color w:val="174B8B"/>
          <w:spacing w:val="-1"/>
        </w:rPr>
        <w:t>传染性风险压力测试情景</w:t>
      </w:r>
    </w:p>
    <w:p>
      <w:pPr>
        <w:spacing w:line="22" w:lineRule="exact"/>
        <w:rPr/>
      </w:pPr>
      <w:r/>
    </w:p>
    <w:tbl>
      <w:tblPr>
        <w:tblStyle w:val="TableNormal"/>
        <w:tblW w:w="8777" w:type="dxa"/>
        <w:tblInd w:w="5" w:type="dxa"/>
        <w:tblLayout w:type="fixed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1076"/>
        <w:gridCol w:w="7701"/>
      </w:tblGrid>
      <w:tr>
        <w:trPr>
          <w:trHeight w:val="610" w:hRule="atLeast"/>
        </w:trPr>
        <w:tc>
          <w:tcPr>
            <w:tcW w:w="1076" w:type="dxa"/>
            <w:vAlign w:val="top"/>
          </w:tcPr>
          <w:p>
            <w:pPr>
              <w:pStyle w:val="TableText"/>
              <w:ind w:left="311"/>
              <w:spacing w:before="180" w:line="208" w:lineRule="auto"/>
              <w:rPr>
                <w:rFonts w:ascii="Times New Roman" w:hAnsi="Times New Roman" w:eastAsia="Times New Roman" w:cs="Times New Roman"/>
              </w:rPr>
            </w:pPr>
            <w:r>
              <w:drawing>
                <wp:anchor distT="0" distB="0" distL="0" distR="0" simplePos="0" relativeHeight="252441600" behindDoc="1" locked="0" layoutInCell="1" allowOverlap="1">
                  <wp:simplePos x="0" y="0"/>
                  <wp:positionH relativeFrom="column">
                    <wp:posOffset>-3176</wp:posOffset>
                  </wp:positionH>
                  <wp:positionV relativeFrom="paragraph">
                    <wp:posOffset>-2999</wp:posOffset>
                  </wp:positionV>
                  <wp:extent cx="680821" cy="1480641"/>
                  <wp:effectExtent l="0" t="0" r="0" b="0"/>
                  <wp:wrapNone/>
                  <wp:docPr id="566" name="IM 5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6" name="IM 566"/>
                          <pic:cNvPicPr/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0821" cy="148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FFFF"/>
                <w:spacing w:val="-2"/>
              </w:rPr>
              <w:t>情景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</w:rPr>
              <w:t>1</w:t>
            </w:r>
          </w:p>
        </w:tc>
        <w:tc>
          <w:tcPr>
            <w:tcW w:w="7701" w:type="dxa"/>
            <w:vAlign w:val="top"/>
          </w:tcPr>
          <w:p>
            <w:pPr>
              <w:pStyle w:val="TableText"/>
              <w:ind w:left="107" w:right="105"/>
              <w:spacing w:before="80" w:line="180" w:lineRule="auto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442624" behindDoc="1" locked="0" layoutInCell="1" allowOverlap="1">
                      <wp:simplePos x="0" y="0"/>
                      <wp:positionH relativeFrom="column">
                        <wp:posOffset>-5614</wp:posOffset>
                      </wp:positionH>
                      <wp:positionV relativeFrom="paragraph">
                        <wp:posOffset>-3303</wp:posOffset>
                      </wp:positionV>
                      <wp:extent cx="4893310" cy="1480820"/>
                      <wp:effectExtent l="0" t="0" r="0" b="0"/>
                      <wp:wrapNone/>
                      <wp:docPr id="568" name="Rect 568"/>
                      <wp:cNvGraphicFramePr/>
                      <a:graphic>
                        <a:graphicData uri="http://schemas.microsoft.com/office/word/2010/wordprocessingShape">
                          <wps:wsp>
                            <wps:cNvPr id="568" name="Rect 568"/>
                            <wps:cNvSpPr/>
                            <wps:spPr>
                              <a:xfrm>
                                <a:off x="-5614" y="-3303"/>
                                <a:ext cx="4893310" cy="1480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E5F5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84" style="position:absolute;margin-left:-0.442101pt;margin-top:-0.260132pt;mso-position-vertical-relative:text;mso-position-horizontal-relative:text;width:385.3pt;height:116.6pt;z-index:-250873856;" fillcolor="#D4E5F5" filled="true" stroked="false"/>
                  </w:pict>
                </mc:Fallback>
              </mc:AlternateContent>
            </w:r>
            <w:r>
              <w:rPr>
                <w:color w:val="231F20"/>
                <w:spacing w:val="2"/>
              </w:rPr>
              <w:t>假设参试银行分别发生信用违约（违约并撤回同业融出资金，下同</w:t>
            </w:r>
            <w:r>
              <w:rPr>
                <w:color w:val="231F20"/>
                <w:spacing w:val="9"/>
              </w:rPr>
              <w:t>），</w:t>
            </w:r>
            <w:r>
              <w:rPr>
                <w:color w:val="231F20"/>
                <w:spacing w:val="2"/>
              </w:rPr>
              <w:t>考察其可能产生的溢出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>效应</w:t>
            </w:r>
          </w:p>
        </w:tc>
      </w:tr>
      <w:tr>
        <w:trPr>
          <w:trHeight w:val="843" w:hRule="atLeast"/>
        </w:trPr>
        <w:tc>
          <w:tcPr>
            <w:tcW w:w="1076" w:type="dxa"/>
            <w:vAlign w:val="top"/>
          </w:tcPr>
          <w:p>
            <w:pPr>
              <w:pStyle w:val="TableText"/>
              <w:ind w:left="311"/>
              <w:spacing w:before="297" w:line="208" w:lineRule="auto"/>
              <w:rPr>
                <w:rFonts w:ascii="Times New Roman" w:hAnsi="Times New Roman" w:eastAsia="Times New Roman" w:cs="Times New Roman"/>
              </w:rPr>
            </w:pPr>
            <w:r>
              <w:rPr>
                <w:color w:val="FFFFFF"/>
                <w:spacing w:val="-2"/>
              </w:rPr>
              <w:t>情景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</w:rPr>
              <w:t>2</w:t>
            </w:r>
          </w:p>
        </w:tc>
        <w:tc>
          <w:tcPr>
            <w:tcW w:w="7701" w:type="dxa"/>
            <w:vAlign w:val="top"/>
          </w:tcPr>
          <w:p>
            <w:pPr>
              <w:pStyle w:val="TableText"/>
              <w:ind w:left="108" w:right="105" w:hanging="1"/>
              <w:spacing w:before="79" w:line="174" w:lineRule="auto"/>
              <w:jc w:val="both"/>
              <w:rPr/>
            </w:pPr>
            <w:r>
              <w:rPr>
                <w:color w:val="231F20"/>
                <w:spacing w:val="2"/>
              </w:rPr>
              <w:t>假设银行业中的非银行金融机构首先发生违约，参试银行损失部分对银行业中的非银行金融机</w:t>
            </w:r>
            <w:r>
              <w:rPr>
                <w:color w:val="231F20"/>
                <w:spacing w:val="14"/>
                <w:w w:val="102"/>
              </w:rPr>
              <w:t xml:space="preserve"> </w:t>
            </w:r>
            <w:r>
              <w:rPr>
                <w:color w:val="231F20"/>
                <w:spacing w:val="2"/>
              </w:rPr>
              <w:t>构的同业资产，损失直接扣减核心一级资本净额，然后再考察其余参试银行分别发生信用违约</w:t>
            </w:r>
            <w:r>
              <w:rPr>
                <w:color w:val="231F20"/>
                <w:spacing w:val="12"/>
                <w:w w:val="102"/>
              </w:rPr>
              <w:t xml:space="preserve"> </w:t>
            </w:r>
            <w:r>
              <w:rPr>
                <w:color w:val="231F20"/>
                <w:spacing w:val="-1"/>
              </w:rPr>
              <w:t>时可能产生的溢出效应</w:t>
            </w:r>
          </w:p>
        </w:tc>
      </w:tr>
      <w:tr>
        <w:trPr>
          <w:trHeight w:val="848" w:hRule="atLeast"/>
        </w:trPr>
        <w:tc>
          <w:tcPr>
            <w:tcW w:w="1076" w:type="dxa"/>
            <w:vAlign w:val="top"/>
          </w:tcPr>
          <w:p>
            <w:pPr>
              <w:pStyle w:val="TableText"/>
              <w:ind w:left="311"/>
              <w:spacing w:before="301" w:line="208" w:lineRule="auto"/>
              <w:rPr>
                <w:rFonts w:ascii="Times New Roman" w:hAnsi="Times New Roman" w:eastAsia="Times New Roman" w:cs="Times New Roman"/>
              </w:rPr>
            </w:pPr>
            <w:r>
              <w:rPr>
                <w:color w:val="FFFFFF"/>
                <w:spacing w:val="-2"/>
              </w:rPr>
              <w:t>情景</w:t>
            </w:r>
            <w:r>
              <w:rPr>
                <w:rFonts w:ascii="Times New Roman" w:hAnsi="Times New Roman" w:eastAsia="Times New Roman" w:cs="Times New Roman"/>
                <w:b/>
                <w:bCs/>
                <w:color w:val="FFFFFF"/>
                <w:spacing w:val="-2"/>
              </w:rPr>
              <w:t>3</w:t>
            </w:r>
          </w:p>
        </w:tc>
        <w:tc>
          <w:tcPr>
            <w:tcW w:w="7701" w:type="dxa"/>
            <w:vAlign w:val="top"/>
          </w:tcPr>
          <w:p>
            <w:pPr>
              <w:pStyle w:val="TableText"/>
              <w:ind w:left="111" w:right="105" w:hanging="4"/>
              <w:spacing w:before="80" w:line="175" w:lineRule="auto"/>
              <w:jc w:val="both"/>
              <w:rPr/>
            </w:pPr>
            <w:r>
              <w:rPr>
                <w:color w:val="231F20"/>
                <w:spacing w:val="2"/>
              </w:rPr>
              <w:t>假设证券业、保险业金融机构首先发生违约，参试银行损失部分对证券业、保险业金融机构的</w:t>
            </w:r>
            <w:r>
              <w:rPr>
                <w:color w:val="231F20"/>
                <w:spacing w:val="14"/>
                <w:w w:val="102"/>
              </w:rPr>
              <w:t xml:space="preserve"> </w:t>
            </w:r>
            <w:r>
              <w:rPr>
                <w:color w:val="231F20"/>
                <w:spacing w:val="2"/>
              </w:rPr>
              <w:t>同业资产，损失直接扣减核心一级资本净额，然后再考察其余参试银行分别发生信用违约时可</w:t>
            </w:r>
            <w:r>
              <w:rPr>
                <w:color w:val="231F20"/>
                <w:spacing w:val="10"/>
              </w:rPr>
              <w:t xml:space="preserve"> </w:t>
            </w:r>
            <w:r>
              <w:rPr>
                <w:color w:val="231F20"/>
                <w:spacing w:val="-1"/>
              </w:rPr>
              <w:t>能产生的溢出效应</w:t>
            </w:r>
          </w:p>
        </w:tc>
      </w:tr>
    </w:tbl>
    <w:p>
      <w:pPr>
        <w:pStyle w:val="BodyText"/>
        <w:rPr/>
      </w:pPr>
      <w:r/>
    </w:p>
    <w:p>
      <w:pPr>
        <w:spacing w:line="56" w:lineRule="exact"/>
        <w:rPr/>
      </w:pPr>
      <w:r/>
    </w:p>
    <w:p>
      <w:pPr>
        <w:spacing w:line="56" w:lineRule="exact"/>
        <w:sectPr>
          <w:headerReference w:type="default" r:id="rId265"/>
          <w:pgSz w:w="11906" w:h="16158"/>
          <w:pgMar w:top="1367" w:right="1700" w:bottom="400" w:left="1417" w:header="1044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481"/>
        <w:spacing w:before="59" w:line="173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2"/>
        </w:rPr>
        <w:t>二、偿付能力压力测试结果</w:t>
      </w:r>
    </w:p>
    <w:p>
      <w:pPr>
        <w:pStyle w:val="BodyText"/>
        <w:ind w:left="6" w:right="359" w:firstLine="424"/>
        <w:spacing w:before="431" w:line="208" w:lineRule="auto"/>
        <w:rPr/>
      </w:pPr>
      <w:r>
        <w:rPr>
          <w:color w:val="231F20"/>
          <w:spacing w:val="5"/>
        </w:rPr>
        <w:t>截至</w:t>
      </w: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年末， </w:t>
      </w:r>
      <w:r>
        <w:rPr>
          <w:rFonts w:ascii="Times New Roman" w:hAnsi="Times New Roman" w:eastAsia="Times New Roman" w:cs="Times New Roman"/>
          <w:color w:val="231F20"/>
          <w:spacing w:val="5"/>
        </w:rPr>
        <w:t>3235</w:t>
      </w:r>
      <w:r>
        <w:rPr>
          <w:color w:val="231F20"/>
          <w:spacing w:val="5"/>
        </w:rPr>
        <w:t>家参试银行各项贷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款余额共计</w:t>
      </w:r>
      <w:r>
        <w:rPr>
          <w:rFonts w:ascii="Times New Roman" w:hAnsi="Times New Roman" w:eastAsia="Times New Roman" w:cs="Times New Roman"/>
          <w:color w:val="231F20"/>
          <w:spacing w:val="-1"/>
        </w:rPr>
        <w:t>219.73</w:t>
      </w:r>
      <w:r>
        <w:rPr>
          <w:color w:val="231F20"/>
          <w:spacing w:val="-1"/>
        </w:rPr>
        <w:t>万亿元，整体不良资</w:t>
      </w:r>
      <w:r>
        <w:rPr>
          <w:color w:val="231F20"/>
          <w:spacing w:val="-2"/>
        </w:rPr>
        <w:t>产率、</w:t>
      </w:r>
      <w:r>
        <w:rPr>
          <w:color w:val="231F20"/>
        </w:rPr>
        <w:t xml:space="preserve">  </w:t>
      </w:r>
      <w:r>
        <w:rPr>
          <w:color w:val="231F20"/>
          <w:spacing w:val="4"/>
        </w:rPr>
        <w:t>不良贷款率分别为</w:t>
      </w:r>
      <w:r>
        <w:rPr>
          <w:rFonts w:ascii="Times New Roman" w:hAnsi="Times New Roman" w:eastAsia="Times New Roman" w:cs="Times New Roman"/>
          <w:color w:val="231F20"/>
          <w:spacing w:val="4"/>
        </w:rPr>
        <w:t>1%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4"/>
        </w:rPr>
        <w:t>、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1.51%</w:t>
      </w:r>
      <w:r>
        <w:rPr>
          <w:color w:val="231F20"/>
          <w:spacing w:val="4"/>
        </w:rPr>
        <w:t>，整体核</w:t>
      </w:r>
      <w:r>
        <w:rPr>
          <w:color w:val="231F20"/>
          <w:spacing w:val="3"/>
        </w:rPr>
        <w:t>心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3"/>
        </w:rPr>
        <w:t>一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8" w:right="36" w:hanging="18"/>
        <w:spacing w:before="51" w:line="266" w:lineRule="auto"/>
        <w:rPr/>
      </w:pPr>
      <w:r>
        <w:rPr>
          <w:color w:val="231F20"/>
          <w:spacing w:val="4"/>
        </w:rPr>
        <w:t>级资本充足率、资本充足率分别为</w:t>
      </w:r>
      <w:r>
        <w:rPr>
          <w:rFonts w:ascii="Times New Roman" w:hAnsi="Times New Roman" w:eastAsia="Times New Roman" w:cs="Times New Roman"/>
          <w:color w:val="231F20"/>
          <w:spacing w:val="4"/>
        </w:rPr>
        <w:t>11.03%</w:t>
      </w:r>
      <w:r>
        <w:rPr>
          <w:rFonts w:ascii="Times New Roman" w:hAnsi="Times New Roman" w:eastAsia="Times New Roman" w:cs="Times New Roman"/>
          <w:color w:val="231F20"/>
          <w:spacing w:val="-26"/>
        </w:rPr>
        <w:t xml:space="preserve"> </w:t>
      </w:r>
      <w:r>
        <w:rPr>
          <w:color w:val="231F20"/>
          <w:spacing w:val="4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4"/>
        </w:rPr>
        <w:t>15.76%</w:t>
      </w:r>
      <w:r>
        <w:rPr>
          <w:color w:val="231F20"/>
          <w:spacing w:val="-4"/>
        </w:rPr>
        <w:t>。</w:t>
      </w:r>
    </w:p>
    <w:p>
      <w:pPr>
        <w:pStyle w:val="BodyText"/>
        <w:ind w:left="411"/>
        <w:spacing w:before="111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（一）宏观情景压力测试</w:t>
      </w:r>
    </w:p>
    <w:p>
      <w:pPr>
        <w:pStyle w:val="BodyText"/>
        <w:ind w:right="28"/>
        <w:spacing w:before="245" w:line="165" w:lineRule="auto"/>
        <w:jc w:val="right"/>
        <w:rPr/>
      </w:pPr>
      <w:r>
        <w:rPr>
          <w:rFonts w:ascii="Times New Roman" w:hAnsi="Times New Roman" w:eastAsia="Times New Roman" w:cs="Times New Roman"/>
          <w:color w:val="231F20"/>
          <w:spacing w:val="18"/>
        </w:rPr>
        <w:t>23</w:t>
      </w:r>
      <w:r>
        <w:rPr>
          <w:rFonts w:ascii="Times New Roman" w:hAnsi="Times New Roman" w:eastAsia="Times New Roman" w:cs="Times New Roman"/>
          <w:color w:val="231F20"/>
          <w:spacing w:val="-11"/>
        </w:rPr>
        <w:t xml:space="preserve"> </w:t>
      </w:r>
      <w:r>
        <w:rPr>
          <w:color w:val="231F20"/>
          <w:spacing w:val="18"/>
        </w:rPr>
        <w:t>家参试银行整体抗冲击能力较强。</w:t>
      </w:r>
    </w:p>
    <w:p>
      <w:pPr>
        <w:spacing w:line="165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7" w:space="100"/>
            <w:col w:w="4161" w:space="0"/>
          </w:cols>
        </w:sectPr>
        <w:rPr/>
      </w:pPr>
    </w:p>
    <w:p>
      <w:pPr>
        <w:spacing w:before="154"/>
        <w:rPr/>
      </w:pPr>
      <w:r/>
    </w:p>
    <w:p>
      <w:pPr>
        <w:sectPr>
          <w:headerReference w:type="default" r:id="rId290"/>
          <w:pgSz w:w="11906" w:h="16158"/>
          <w:pgMar w:top="1385" w:right="1415" w:bottom="400" w:left="1700" w:header="1062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4" w:right="357" w:firstLine="2"/>
        <w:spacing w:before="45" w:line="254" w:lineRule="auto"/>
        <w:jc w:val="both"/>
        <w:rPr/>
      </w:pPr>
      <w:r>
        <w:rPr>
          <w:color w:val="231F20"/>
          <w:spacing w:val="3"/>
        </w:rPr>
        <w:t>宏观情景压力测试结果显示，  </w:t>
      </w:r>
      <w:r>
        <w:rPr>
          <w:rFonts w:ascii="Times New Roman" w:hAnsi="Times New Roman" w:eastAsia="Times New Roman" w:cs="Times New Roman"/>
          <w:color w:val="231F20"/>
          <w:spacing w:val="3"/>
        </w:rPr>
        <w:t>23</w:t>
      </w:r>
      <w:r>
        <w:rPr>
          <w:color w:val="231F20"/>
          <w:spacing w:val="3"/>
        </w:rPr>
        <w:t>家参试银行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21"/>
        </w:rPr>
        <w:t>整体资本充足水平较高，运行稳健。截至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2024</w:t>
      </w:r>
      <w:r>
        <w:rPr>
          <w:color w:val="231F20"/>
          <w:spacing w:val="6"/>
        </w:rPr>
        <w:t>年末，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6"/>
        </w:rPr>
        <w:t>23</w:t>
      </w:r>
      <w:r>
        <w:rPr>
          <w:color w:val="231F20"/>
          <w:spacing w:val="6"/>
        </w:rPr>
        <w:t>家参试银行整体资本充足率为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16.64%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  <w:spacing w:val="3"/>
        </w:rPr>
        <w:t>。轻度压力情景下， </w:t>
      </w:r>
      <w:r>
        <w:rPr>
          <w:rFonts w:ascii="Times New Roman" w:hAnsi="Times New Roman" w:eastAsia="Times New Roman" w:cs="Times New Roman"/>
          <w:color w:val="231F20"/>
          <w:spacing w:val="3"/>
        </w:rPr>
        <w:t>2027</w:t>
      </w:r>
      <w:r>
        <w:rPr>
          <w:color w:val="231F20"/>
          <w:spacing w:val="3"/>
        </w:rPr>
        <w:t>年末资本充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足率为</w:t>
      </w:r>
      <w:r>
        <w:rPr>
          <w:rFonts w:ascii="Times New Roman" w:hAnsi="Times New Roman" w:eastAsia="Times New Roman" w:cs="Times New Roman"/>
          <w:color w:val="231F20"/>
          <w:spacing w:val="3"/>
        </w:rPr>
        <w:t>12.50%</w:t>
      </w:r>
      <w:r>
        <w:rPr>
          <w:color w:val="231F20"/>
          <w:spacing w:val="3"/>
        </w:rPr>
        <w:t>；中度压力情景下，</w:t>
      </w:r>
      <w:r>
        <w:rPr>
          <w:color w:val="231F20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3"/>
        </w:rPr>
        <w:t>2027</w:t>
      </w:r>
      <w:r>
        <w:rPr>
          <w:color w:val="231F20"/>
          <w:spacing w:val="3"/>
        </w:rPr>
        <w:t>年末</w:t>
      </w:r>
      <w:r>
        <w:rPr>
          <w:color w:val="231F20"/>
        </w:rPr>
        <w:t xml:space="preserve"> </w:t>
      </w:r>
      <w:r>
        <w:rPr>
          <w:color w:val="231F20"/>
          <w:spacing w:val="15"/>
        </w:rPr>
        <w:t>资本充足率为</w:t>
      </w:r>
      <w:r>
        <w:rPr>
          <w:rFonts w:ascii="Times New Roman" w:hAnsi="Times New Roman" w:eastAsia="Times New Roman" w:cs="Times New Roman"/>
          <w:color w:val="231F20"/>
          <w:spacing w:val="15"/>
        </w:rPr>
        <w:t>12.42%</w:t>
      </w:r>
      <w:r>
        <w:rPr>
          <w:color w:val="231F20"/>
          <w:spacing w:val="15"/>
        </w:rPr>
        <w:t>；重度压力情景下，</w:t>
      </w:r>
      <w:r>
        <w:rPr>
          <w:color w:val="231F20"/>
          <w:spacing w:val="5"/>
        </w:rPr>
        <w:t xml:space="preserve">  </w:t>
      </w:r>
      <w:r>
        <w:rPr>
          <w:rFonts w:ascii="Times New Roman" w:hAnsi="Times New Roman" w:eastAsia="Times New Roman" w:cs="Times New Roman"/>
          <w:color w:val="231F20"/>
          <w:spacing w:val="6"/>
        </w:rPr>
        <w:t>2027</w:t>
      </w:r>
      <w:r>
        <w:rPr>
          <w:color w:val="231F20"/>
          <w:spacing w:val="6"/>
        </w:rPr>
        <w:t>年末资本充足率为</w:t>
      </w:r>
      <w:r>
        <w:rPr>
          <w:rFonts w:ascii="Times New Roman" w:hAnsi="Times New Roman" w:eastAsia="Times New Roman" w:cs="Times New Roman"/>
          <w:color w:val="231F20"/>
          <w:spacing w:val="6"/>
        </w:rPr>
        <w:t>11.95%</w:t>
      </w:r>
      <w:r>
        <w:rPr>
          <w:color w:val="231F20"/>
          <w:spacing w:val="6"/>
        </w:rPr>
        <w:t>，表明</w:t>
      </w:r>
      <w:r>
        <w:rPr>
          <w:rFonts w:ascii="Times New Roman" w:hAnsi="Times New Roman" w:eastAsia="Times New Roman" w:cs="Times New Roman"/>
          <w:color w:val="231F20"/>
          <w:spacing w:val="6"/>
        </w:rPr>
        <w:t>23</w:t>
      </w:r>
      <w:r>
        <w:rPr>
          <w:color w:val="231F20"/>
          <w:spacing w:val="6"/>
        </w:rPr>
        <w:t>家参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9"/>
        </w:rPr>
        <w:t>试银行整体对宏观经济冲击具有较强的抵御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"/>
        </w:rPr>
        <w:t>能力（见图</w:t>
      </w:r>
      <w:r>
        <w:rPr>
          <w:rFonts w:ascii="Times New Roman" w:hAnsi="Times New Roman" w:eastAsia="Times New Roman" w:cs="Times New Roman"/>
          <w:color w:val="231F20"/>
          <w:spacing w:val="1"/>
        </w:rPr>
        <w:t>1</w:t>
      </w:r>
      <w:r>
        <w:rPr>
          <w:color w:val="231F20"/>
          <w:spacing w:val="1"/>
        </w:rPr>
        <w:t>）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1"/>
          <w:position w:val="8"/>
        </w:rPr>
        <w:t>①</w:t>
      </w:r>
      <w:r>
        <w:rPr>
          <w:color w:val="231F20"/>
          <w:spacing w:val="1"/>
        </w:rPr>
        <w:t>。</w:t>
      </w:r>
    </w:p>
    <w:p>
      <w:pPr>
        <w:ind w:firstLine="109"/>
        <w:spacing w:before="210" w:line="2300" w:lineRule="exact"/>
        <w:rPr/>
      </w:pPr>
      <w:r>
        <w:drawing>
          <wp:anchor distT="0" distB="0" distL="0" distR="0" simplePos="0" relativeHeight="252462080" behindDoc="1" locked="0" layoutInCell="1" allowOverlap="1">
            <wp:simplePos x="0" y="0"/>
            <wp:positionH relativeFrom="column">
              <wp:posOffset>239859</wp:posOffset>
            </wp:positionH>
            <wp:positionV relativeFrom="paragraph">
              <wp:posOffset>405144</wp:posOffset>
            </wp:positionV>
            <wp:extent cx="114998" cy="975372"/>
            <wp:effectExtent l="0" t="0" r="0" b="0"/>
            <wp:wrapNone/>
            <wp:docPr id="570" name="IM 570"/>
            <wp:cNvGraphicFramePr/>
            <a:graphic>
              <a:graphicData uri="http://schemas.openxmlformats.org/drawingml/2006/picture">
                <pic:pic>
                  <pic:nvPicPr>
                    <pic:cNvPr id="570" name="IM 570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998" cy="97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1056" behindDoc="1" locked="0" layoutInCell="1" allowOverlap="1">
            <wp:simplePos x="0" y="0"/>
            <wp:positionH relativeFrom="column">
              <wp:posOffset>434360</wp:posOffset>
            </wp:positionH>
            <wp:positionV relativeFrom="paragraph">
              <wp:posOffset>513703</wp:posOffset>
            </wp:positionV>
            <wp:extent cx="115011" cy="866813"/>
            <wp:effectExtent l="0" t="0" r="0" b="0"/>
            <wp:wrapNone/>
            <wp:docPr id="572" name="IM 572"/>
            <wp:cNvGraphicFramePr/>
            <a:graphic>
              <a:graphicData uri="http://schemas.openxmlformats.org/drawingml/2006/picture">
                <pic:pic>
                  <pic:nvPicPr>
                    <pic:cNvPr id="572" name="IM 572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11" cy="866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60032" behindDoc="1" locked="0" layoutInCell="1" allowOverlap="1">
            <wp:simplePos x="0" y="0"/>
            <wp:positionH relativeFrom="column">
              <wp:posOffset>628860</wp:posOffset>
            </wp:positionH>
            <wp:positionV relativeFrom="paragraph">
              <wp:posOffset>645123</wp:posOffset>
            </wp:positionV>
            <wp:extent cx="115011" cy="735393"/>
            <wp:effectExtent l="0" t="0" r="0" b="0"/>
            <wp:wrapNone/>
            <wp:docPr id="574" name="IM 574"/>
            <wp:cNvGraphicFramePr/>
            <a:graphic>
              <a:graphicData uri="http://schemas.openxmlformats.org/drawingml/2006/picture">
                <pic:pic>
                  <pic:nvPicPr>
                    <pic:cNvPr id="574" name="IM 574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11" cy="73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9008" behindDoc="1" locked="0" layoutInCell="1" allowOverlap="1">
            <wp:simplePos x="0" y="0"/>
            <wp:positionH relativeFrom="column">
              <wp:posOffset>823374</wp:posOffset>
            </wp:positionH>
            <wp:positionV relativeFrom="paragraph">
              <wp:posOffset>785102</wp:posOffset>
            </wp:positionV>
            <wp:extent cx="114998" cy="595414"/>
            <wp:effectExtent l="0" t="0" r="0" b="0"/>
            <wp:wrapNone/>
            <wp:docPr id="576" name="IM 576"/>
            <wp:cNvGraphicFramePr/>
            <a:graphic>
              <a:graphicData uri="http://schemas.openxmlformats.org/drawingml/2006/picture">
                <pic:pic>
                  <pic:nvPicPr>
                    <pic:cNvPr id="576" name="IM 576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998" cy="59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6960" behindDoc="1" locked="0" layoutInCell="1" allowOverlap="1">
            <wp:simplePos x="0" y="0"/>
            <wp:positionH relativeFrom="column">
              <wp:posOffset>1208374</wp:posOffset>
            </wp:positionH>
            <wp:positionV relativeFrom="paragraph">
              <wp:posOffset>507303</wp:posOffset>
            </wp:positionV>
            <wp:extent cx="115011" cy="873213"/>
            <wp:effectExtent l="0" t="0" r="0" b="0"/>
            <wp:wrapNone/>
            <wp:docPr id="578" name="IM 578"/>
            <wp:cNvGraphicFramePr/>
            <a:graphic>
              <a:graphicData uri="http://schemas.openxmlformats.org/drawingml/2006/picture">
                <pic:pic>
                  <pic:nvPicPr>
                    <pic:cNvPr id="578" name="IM 578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11" cy="873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5936" behindDoc="1" locked="0" layoutInCell="1" allowOverlap="1">
            <wp:simplePos x="0" y="0"/>
            <wp:positionH relativeFrom="column">
              <wp:posOffset>1402887</wp:posOffset>
            </wp:positionH>
            <wp:positionV relativeFrom="paragraph">
              <wp:posOffset>641186</wp:posOffset>
            </wp:positionV>
            <wp:extent cx="115011" cy="739330"/>
            <wp:effectExtent l="0" t="0" r="0" b="0"/>
            <wp:wrapNone/>
            <wp:docPr id="580" name="IM 580"/>
            <wp:cNvGraphicFramePr/>
            <a:graphic>
              <a:graphicData uri="http://schemas.openxmlformats.org/drawingml/2006/picture">
                <pic:pic>
                  <pic:nvPicPr>
                    <pic:cNvPr id="580" name="IM 580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11" cy="73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2864" behindDoc="1" locked="0" layoutInCell="1" allowOverlap="1">
            <wp:simplePos x="0" y="0"/>
            <wp:positionH relativeFrom="column">
              <wp:posOffset>1597401</wp:posOffset>
            </wp:positionH>
            <wp:positionV relativeFrom="paragraph">
              <wp:posOffset>790462</wp:posOffset>
            </wp:positionV>
            <wp:extent cx="114998" cy="590054"/>
            <wp:effectExtent l="0" t="0" r="0" b="0"/>
            <wp:wrapNone/>
            <wp:docPr id="582" name="IM 582"/>
            <wp:cNvGraphicFramePr/>
            <a:graphic>
              <a:graphicData uri="http://schemas.openxmlformats.org/drawingml/2006/picture">
                <pic:pic>
                  <pic:nvPicPr>
                    <pic:cNvPr id="582" name="IM 582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998" cy="59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7984" behindDoc="1" locked="0" layoutInCell="1" allowOverlap="1">
            <wp:simplePos x="0" y="0"/>
            <wp:positionH relativeFrom="column">
              <wp:posOffset>1980902</wp:posOffset>
            </wp:positionH>
            <wp:positionV relativeFrom="paragraph">
              <wp:posOffset>515126</wp:posOffset>
            </wp:positionV>
            <wp:extent cx="115011" cy="865390"/>
            <wp:effectExtent l="0" t="0" r="0" b="0"/>
            <wp:wrapNone/>
            <wp:docPr id="584" name="IM 584"/>
            <wp:cNvGraphicFramePr/>
            <a:graphic>
              <a:graphicData uri="http://schemas.openxmlformats.org/drawingml/2006/picture">
                <pic:pic>
                  <pic:nvPicPr>
                    <pic:cNvPr id="584" name="IM 584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11" cy="865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4912" behindDoc="1" locked="0" layoutInCell="1" allowOverlap="1">
            <wp:simplePos x="0" y="0"/>
            <wp:positionH relativeFrom="column">
              <wp:posOffset>2175403</wp:posOffset>
            </wp:positionH>
            <wp:positionV relativeFrom="paragraph">
              <wp:posOffset>674765</wp:posOffset>
            </wp:positionV>
            <wp:extent cx="115011" cy="705751"/>
            <wp:effectExtent l="0" t="0" r="0" b="0"/>
            <wp:wrapNone/>
            <wp:docPr id="586" name="IM 586"/>
            <wp:cNvGraphicFramePr/>
            <a:graphic>
              <a:graphicData uri="http://schemas.openxmlformats.org/drawingml/2006/picture">
                <pic:pic>
                  <pic:nvPicPr>
                    <pic:cNvPr id="586" name="IM 586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5011" cy="705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53888" behindDoc="1" locked="0" layoutInCell="1" allowOverlap="1">
            <wp:simplePos x="0" y="0"/>
            <wp:positionH relativeFrom="column">
              <wp:posOffset>2369916</wp:posOffset>
            </wp:positionH>
            <wp:positionV relativeFrom="paragraph">
              <wp:posOffset>834023</wp:posOffset>
            </wp:positionV>
            <wp:extent cx="114998" cy="546493"/>
            <wp:effectExtent l="0" t="0" r="0" b="0"/>
            <wp:wrapNone/>
            <wp:docPr id="588" name="IM 588"/>
            <wp:cNvGraphicFramePr/>
            <a:graphic>
              <a:graphicData uri="http://schemas.openxmlformats.org/drawingml/2006/picture">
                <pic:pic>
                  <pic:nvPicPr>
                    <pic:cNvPr id="588" name="IM 588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4998" cy="546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5"/>
        </w:rPr>
        <w:drawing>
          <wp:inline distT="0" distB="0" distL="0" distR="0">
            <wp:extent cx="2507535" cy="1460484"/>
            <wp:effectExtent l="0" t="0" r="0" b="0"/>
            <wp:docPr id="590" name="IM 590"/>
            <wp:cNvGraphicFramePr/>
            <a:graphic>
              <a:graphicData uri="http://schemas.openxmlformats.org/drawingml/2006/picture">
                <pic:pic>
                  <pic:nvPicPr>
                    <pic:cNvPr id="590" name="IM 590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07535" cy="146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41"/>
        <w:spacing w:before="182" w:line="174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图1    宏观情景压力测试整体资本充足率情况</w:t>
      </w:r>
    </w:p>
    <w:p>
      <w:pPr>
        <w:pStyle w:val="BodyText"/>
        <w:ind w:left="4" w:right="357" w:firstLine="427"/>
        <w:spacing w:before="430" w:line="253" w:lineRule="auto"/>
        <w:rPr/>
      </w:pPr>
      <w:r>
        <w:pict>
          <v:shape id="_x0000_s186" style="position:absolute;margin-left:0.25pt;margin-top:237.049pt;mso-position-vertical-relative:text;mso-position-horizontal-relative:text;width:90.75pt;height:0.5pt;z-index:252463104;" filled="false" strokecolor="#231F20" strokeweight="0.50pt" coordsize="1815,10" coordorigin="0,0" path="m0,5l1814,5e">
            <v:stroke joinstyle="miter" miterlimit="10"/>
          </v:shape>
        </w:pict>
      </w:r>
      <w:r>
        <w:rPr>
          <w:color w:val="231F20"/>
          <w:spacing w:val="9"/>
        </w:rPr>
        <w:t>信用风险是影响</w:t>
      </w:r>
      <w:r>
        <w:rPr>
          <w:rFonts w:ascii="Times New Roman" w:hAnsi="Times New Roman" w:eastAsia="Times New Roman" w:cs="Times New Roman"/>
          <w:color w:val="231F20"/>
          <w:spacing w:val="9"/>
        </w:rPr>
        <w:t>23</w:t>
      </w:r>
      <w:r>
        <w:rPr>
          <w:color w:val="231F20"/>
          <w:spacing w:val="9"/>
        </w:rPr>
        <w:t>家参试银行资本充足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水平的主要因素。在轻度、中度、重度压力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情景下，参试银行贷款质量将恶化，不良贷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款率大幅上升。 </w:t>
      </w:r>
      <w:r>
        <w:rPr>
          <w:rFonts w:ascii="Times New Roman" w:hAnsi="Times New Roman" w:eastAsia="Times New Roman" w:cs="Times New Roman"/>
          <w:color w:val="231F20"/>
          <w:spacing w:val="5"/>
        </w:rPr>
        <w:t>2024</w:t>
      </w:r>
      <w:r>
        <w:rPr>
          <w:color w:val="231F20"/>
          <w:spacing w:val="5"/>
        </w:rPr>
        <w:t>年末</w:t>
      </w:r>
      <w:r>
        <w:rPr>
          <w:rFonts w:ascii="Times New Roman" w:hAnsi="Times New Roman" w:eastAsia="Times New Roman" w:cs="Times New Roman"/>
          <w:color w:val="231F20"/>
          <w:spacing w:val="5"/>
        </w:rPr>
        <w:t>23</w:t>
      </w:r>
      <w:r>
        <w:rPr>
          <w:color w:val="231F20"/>
          <w:spacing w:val="5"/>
        </w:rPr>
        <w:t>家参试银行整体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2"/>
        </w:rPr>
        <w:t>不良贷款率为</w:t>
      </w:r>
      <w:r>
        <w:rPr>
          <w:rFonts w:ascii="Times New Roman" w:hAnsi="Times New Roman" w:eastAsia="Times New Roman" w:cs="Times New Roman"/>
          <w:color w:val="231F20"/>
          <w:spacing w:val="12"/>
        </w:rPr>
        <w:t>1.22%</w:t>
      </w:r>
      <w:r>
        <w:rPr>
          <w:color w:val="231F20"/>
          <w:spacing w:val="12"/>
        </w:rPr>
        <w:t>，若不考虑不良贷款处</w:t>
      </w:r>
      <w:r>
        <w:rPr>
          <w:color w:val="231F20"/>
        </w:rPr>
        <w:t xml:space="preserve"> </w:t>
      </w:r>
      <w:r>
        <w:rPr>
          <w:color w:val="231F20"/>
        </w:rPr>
        <w:t>置，在轻度压力情景下，</w:t>
      </w:r>
      <w:r>
        <w:rPr>
          <w:color w:val="231F20"/>
          <w:spacing w:val="57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2025</w:t>
      </w:r>
      <w:r>
        <w:rPr>
          <w:color w:val="231F20"/>
        </w:rPr>
        <w:t>年、</w:t>
      </w:r>
      <w:r>
        <w:rPr>
          <w:color w:val="231F20"/>
          <w:spacing w:val="-19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2026</w:t>
      </w:r>
      <w:r>
        <w:rPr>
          <w:color w:val="231F20"/>
        </w:rPr>
        <w:t>年、  </w:t>
      </w:r>
      <w:r>
        <w:rPr>
          <w:rFonts w:ascii="Times New Roman" w:hAnsi="Times New Roman" w:eastAsia="Times New Roman" w:cs="Times New Roman"/>
          <w:color w:val="231F20"/>
          <w:spacing w:val="3"/>
        </w:rPr>
        <w:t>2027</w:t>
      </w:r>
      <w:r>
        <w:rPr>
          <w:color w:val="231F20"/>
          <w:spacing w:val="3"/>
        </w:rPr>
        <w:t>年末不良贷款率分别为</w:t>
      </w:r>
      <w:r>
        <w:rPr>
          <w:rFonts w:ascii="Times New Roman" w:hAnsi="Times New Roman" w:eastAsia="Times New Roman" w:cs="Times New Roman"/>
          <w:color w:val="231F20"/>
          <w:spacing w:val="3"/>
        </w:rPr>
        <w:t>3.08%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  <w:spacing w:val="3"/>
        </w:rPr>
        <w:t>、</w:t>
      </w:r>
      <w:r>
        <w:rPr>
          <w:rFonts w:ascii="Times New Roman" w:hAnsi="Times New Roman" w:eastAsia="Times New Roman" w:cs="Times New Roman"/>
          <w:color w:val="231F20"/>
          <w:spacing w:val="3"/>
        </w:rPr>
        <w:t>5.0</w:t>
      </w:r>
      <w:r>
        <w:rPr>
          <w:rFonts w:ascii="Times New Roman" w:hAnsi="Times New Roman" w:eastAsia="Times New Roman" w:cs="Times New Roman"/>
          <w:color w:val="231F20"/>
          <w:spacing w:val="2"/>
        </w:rPr>
        <w:t>2%</w:t>
      </w:r>
      <w:r>
        <w:rPr>
          <w:rFonts w:ascii="Times New Roman" w:hAnsi="Times New Roman" w:eastAsia="Times New Roman" w:cs="Times New Roman"/>
          <w:color w:val="231F20"/>
          <w:spacing w:val="-22"/>
        </w:rPr>
        <w:t xml:space="preserve"> </w:t>
      </w:r>
      <w:r>
        <w:rPr>
          <w:color w:val="231F20"/>
          <w:spacing w:val="2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2"/>
        </w:rPr>
        <w:t>6.55%</w:t>
      </w:r>
      <w:r>
        <w:rPr>
          <w:color w:val="231F20"/>
          <w:spacing w:val="12"/>
        </w:rPr>
        <w:t>；在中度压力情景下，未来三年</w:t>
      </w:r>
      <w:r>
        <w:rPr>
          <w:color w:val="231F20"/>
          <w:spacing w:val="11"/>
        </w:rPr>
        <w:t>末不</w:t>
      </w:r>
      <w:r>
        <w:rPr>
          <w:color w:val="231F20"/>
        </w:rPr>
        <w:t xml:space="preserve"> </w:t>
      </w:r>
      <w:r>
        <w:rPr>
          <w:color w:val="231F20"/>
          <w:spacing w:val="4"/>
        </w:rPr>
        <w:t>良贷款率分别为</w:t>
      </w:r>
      <w:r>
        <w:rPr>
          <w:rFonts w:ascii="Times New Roman" w:hAnsi="Times New Roman" w:eastAsia="Times New Roman" w:cs="Times New Roman"/>
          <w:color w:val="231F20"/>
          <w:spacing w:val="4"/>
        </w:rPr>
        <w:t>3.18%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4"/>
        </w:rPr>
        <w:t>、</w:t>
      </w:r>
      <w:r>
        <w:rPr>
          <w:color w:val="231F20"/>
          <w:spacing w:val="-25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5.32%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4"/>
        </w:rPr>
        <w:t>、</w:t>
      </w:r>
      <w:r>
        <w:rPr>
          <w:color w:val="231F20"/>
          <w:spacing w:val="-2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7.29%</w:t>
      </w:r>
      <w:r>
        <w:rPr>
          <w:color w:val="231F20"/>
          <w:spacing w:val="4"/>
        </w:rPr>
        <w:t>；在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重度压力情景下，未来三年末不良贷款率分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" w:firstLine="2"/>
        <w:spacing w:before="33" w:line="254" w:lineRule="auto"/>
        <w:rPr/>
      </w:pPr>
      <w:r>
        <w:rPr>
          <w:color w:val="231F20"/>
          <w:spacing w:val="1"/>
        </w:rPr>
        <w:t>别为</w:t>
      </w:r>
      <w:r>
        <w:rPr>
          <w:rFonts w:ascii="Times New Roman" w:hAnsi="Times New Roman" w:eastAsia="Times New Roman" w:cs="Times New Roman"/>
          <w:color w:val="231F20"/>
          <w:spacing w:val="1"/>
        </w:rPr>
        <w:t>3.48%</w:t>
      </w:r>
      <w:r>
        <w:rPr>
          <w:rFonts w:ascii="Times New Roman" w:hAnsi="Times New Roman" w:eastAsia="Times New Roman" w:cs="Times New Roman"/>
          <w:color w:val="231F20"/>
          <w:spacing w:val="-22"/>
        </w:rPr>
        <w:t xml:space="preserve"> </w:t>
      </w:r>
      <w:r>
        <w:rPr>
          <w:color w:val="231F20"/>
          <w:spacing w:val="1"/>
        </w:rPr>
        <w:t>、</w:t>
      </w:r>
      <w:r>
        <w:rPr>
          <w:rFonts w:ascii="Times New Roman" w:hAnsi="Times New Roman" w:eastAsia="Times New Roman" w:cs="Times New Roman"/>
          <w:color w:val="231F20"/>
          <w:spacing w:val="1"/>
        </w:rPr>
        <w:t>5.96%</w:t>
      </w:r>
      <w:r>
        <w:rPr>
          <w:rFonts w:ascii="Times New Roman" w:hAnsi="Times New Roman" w:eastAsia="Times New Roman" w:cs="Times New Roman"/>
          <w:color w:val="231F20"/>
          <w:spacing w:val="-23"/>
        </w:rPr>
        <w:t xml:space="preserve"> </w:t>
      </w:r>
      <w:r>
        <w:rPr>
          <w:color w:val="231F20"/>
          <w:spacing w:val="1"/>
        </w:rPr>
        <w:t>、</w:t>
      </w:r>
      <w:r>
        <w:rPr>
          <w:color w:val="231F20"/>
          <w:spacing w:val="-2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8.25%</w:t>
      </w:r>
      <w:r>
        <w:rPr>
          <w:color w:val="231F20"/>
          <w:spacing w:val="1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1"/>
        </w:rPr>
        <w:t>2</w:t>
      </w:r>
      <w:r>
        <w:rPr>
          <w:color w:val="231F20"/>
          <w:spacing w:val="1"/>
        </w:rPr>
        <w:t>）。不良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贷款增多使银行需增加贷款损失准备计提，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且会对银行利息收入产生冲击，资本充足水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平将受到较大影响。此外，非信贷资产相关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损失、超额损失准备与损失准备缺口的变动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等因素也会对资本充足水平造成冲击。在轻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度、中度、重度压力情景下，上述因素导致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未来三年资本充足率累计降低</w:t>
      </w:r>
      <w:r>
        <w:rPr>
          <w:rFonts w:ascii="Times New Roman" w:hAnsi="Times New Roman" w:eastAsia="Times New Roman" w:cs="Times New Roman"/>
          <w:color w:val="231F20"/>
          <w:spacing w:val="7"/>
        </w:rPr>
        <w:t>5.81</w:t>
      </w:r>
      <w:r>
        <w:rPr>
          <w:rFonts w:ascii="Times New Roman" w:hAnsi="Times New Roman" w:eastAsia="Times New Roman" w:cs="Times New Roman"/>
          <w:color w:val="231F20"/>
          <w:spacing w:val="-2"/>
        </w:rPr>
        <w:t xml:space="preserve"> </w:t>
      </w:r>
      <w:r>
        <w:rPr>
          <w:color w:val="231F20"/>
          <w:spacing w:val="7"/>
        </w:rPr>
        <w:t>、</w:t>
      </w:r>
      <w:r>
        <w:rPr>
          <w:color w:val="231F20"/>
          <w:spacing w:val="-2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7"/>
        </w:rPr>
        <w:t>6.43</w:t>
      </w:r>
      <w:r>
        <w:rPr>
          <w:rFonts w:ascii="Times New Roman" w:hAnsi="Times New Roman" w:eastAsia="Times New Roman" w:cs="Times New Roman"/>
          <w:color w:val="231F20"/>
          <w:spacing w:val="-15"/>
        </w:rPr>
        <w:t xml:space="preserve"> </w:t>
      </w:r>
      <w:r>
        <w:rPr>
          <w:color w:val="231F20"/>
          <w:spacing w:val="7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4"/>
        </w:rPr>
        <w:t>7.33</w:t>
      </w:r>
      <w:r>
        <w:rPr>
          <w:color w:val="231F20"/>
          <w:spacing w:val="-4"/>
        </w:rPr>
        <w:t>个百分点。</w:t>
      </w:r>
    </w:p>
    <w:p>
      <w:pPr>
        <w:pStyle w:val="BodyText"/>
        <w:ind w:left="1110"/>
        <w:spacing w:before="219" w:line="133" w:lineRule="exact"/>
        <w:rPr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712C34"/>
          <w:spacing w:val="14"/>
          <w:position w:val="-1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712C34"/>
          <w:spacing w:val="-21"/>
          <w:position w:val="-1"/>
        </w:rPr>
        <w:t xml:space="preserve"> </w:t>
      </w:r>
      <w:r>
        <w:rPr>
          <w:sz w:val="14"/>
          <w:szCs w:val="14"/>
          <w:color w:val="221E20"/>
          <w:spacing w:val="14"/>
          <w:position w:val="-1"/>
        </w:rPr>
        <w:t>轻度</w:t>
      </w:r>
      <w:r>
        <w:rPr>
          <w:sz w:val="14"/>
          <w:szCs w:val="14"/>
          <w:color w:val="221E20"/>
          <w:spacing w:val="1"/>
          <w:position w:val="-1"/>
        </w:rPr>
        <w:t xml:space="preserve">     </w:t>
      </w:r>
      <w:r>
        <w:rPr>
          <w:rFonts w:ascii="DejaVu Sans" w:hAnsi="DejaVu Sans" w:eastAsia="DejaVu Sans" w:cs="DejaVu Sans"/>
          <w:sz w:val="14"/>
          <w:szCs w:val="14"/>
          <w:color w:val="37506E"/>
          <w:spacing w:val="14"/>
          <w:position w:val="-1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37506E"/>
          <w:spacing w:val="14"/>
          <w:position w:val="-1"/>
        </w:rPr>
        <w:t xml:space="preserve"> </w:t>
      </w:r>
      <w:r>
        <w:rPr>
          <w:sz w:val="14"/>
          <w:szCs w:val="14"/>
          <w:color w:val="231F20"/>
          <w:spacing w:val="14"/>
          <w:position w:val="-1"/>
        </w:rPr>
        <w:t>中度</w:t>
      </w:r>
      <w:r>
        <w:rPr>
          <w:sz w:val="14"/>
          <w:szCs w:val="14"/>
          <w:color w:val="231F20"/>
          <w:spacing w:val="1"/>
          <w:position w:val="-1"/>
        </w:rPr>
        <w:t xml:space="preserve">     </w:t>
      </w:r>
      <w:r>
        <w:rPr>
          <w:rFonts w:ascii="DejaVu Sans" w:hAnsi="DejaVu Sans" w:eastAsia="DejaVu Sans" w:cs="DejaVu Sans"/>
          <w:sz w:val="14"/>
          <w:szCs w:val="14"/>
          <w:color w:val="626739"/>
          <w:spacing w:val="14"/>
          <w:position w:val="-1"/>
        </w:rPr>
        <w:t>—</w:t>
      </w:r>
      <w:r>
        <w:rPr>
          <w:rFonts w:ascii="DejaVu Sans" w:hAnsi="DejaVu Sans" w:eastAsia="DejaVu Sans" w:cs="DejaVu Sans"/>
          <w:sz w:val="14"/>
          <w:szCs w:val="14"/>
          <w:color w:val="626739"/>
          <w:spacing w:val="-15"/>
          <w:position w:val="-1"/>
        </w:rPr>
        <w:t xml:space="preserve"> </w:t>
      </w:r>
      <w:r>
        <w:rPr>
          <w:sz w:val="14"/>
          <w:szCs w:val="14"/>
          <w:color w:val="231F20"/>
          <w:spacing w:val="14"/>
          <w:position w:val="-1"/>
        </w:rPr>
        <w:t>重度</w:t>
      </w:r>
    </w:p>
    <w:p>
      <w:pPr>
        <w:ind w:firstLine="49"/>
        <w:spacing w:before="62" w:line="2268" w:lineRule="exact"/>
        <w:rPr/>
      </w:pPr>
      <w:r>
        <w:rPr>
          <w:position w:val="-45"/>
        </w:rPr>
        <w:drawing>
          <wp:inline distT="0" distB="0" distL="0" distR="0">
            <wp:extent cx="2577504" cy="1440250"/>
            <wp:effectExtent l="0" t="0" r="0" b="0"/>
            <wp:docPr id="592" name="IM 592"/>
            <wp:cNvGraphicFramePr/>
            <a:graphic>
              <a:graphicData uri="http://schemas.openxmlformats.org/drawingml/2006/picture">
                <pic:pic>
                  <pic:nvPicPr>
                    <pic:cNvPr id="592" name="IM 592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7504" cy="14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37"/>
        <w:spacing w:before="165" w:line="17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图2    宏观情景压力测试不良贷款率测算结果</w:t>
      </w:r>
    </w:p>
    <w:p>
      <w:pPr>
        <w:pStyle w:val="BodyText"/>
        <w:ind w:firstLine="431"/>
        <w:spacing w:before="305" w:line="252" w:lineRule="auto"/>
        <w:rPr/>
      </w:pPr>
      <w:r>
        <w:rPr>
          <w:color w:val="231F20"/>
          <w:spacing w:val="8"/>
        </w:rPr>
        <w:t>市场风险对</w:t>
      </w:r>
      <w:r>
        <w:rPr>
          <w:rFonts w:ascii="Times New Roman" w:hAnsi="Times New Roman" w:eastAsia="Times New Roman" w:cs="Times New Roman"/>
          <w:b/>
          <w:bCs/>
          <w:color w:val="231F20"/>
          <w:spacing w:val="8"/>
        </w:rPr>
        <w:t>23</w:t>
      </w:r>
      <w:r>
        <w:rPr>
          <w:color w:val="231F20"/>
          <w:spacing w:val="8"/>
        </w:rPr>
        <w:t>家参试银行资本充足水平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6"/>
        </w:rPr>
        <w:t>影响有限。 重度压力情景下，受利率下行影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8"/>
        </w:rPr>
        <w:t>响，存款利率三年累计下行</w:t>
      </w:r>
      <w:r>
        <w:rPr>
          <w:rFonts w:ascii="Times New Roman" w:hAnsi="Times New Roman" w:eastAsia="Times New Roman" w:cs="Times New Roman"/>
          <w:color w:val="231F20"/>
          <w:spacing w:val="8"/>
        </w:rPr>
        <w:t>17</w:t>
      </w:r>
      <w:r>
        <w:rPr>
          <w:color w:val="231F20"/>
          <w:spacing w:val="8"/>
        </w:rPr>
        <w:t>个基点，贷款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6"/>
        </w:rPr>
        <w:t>利率累计下行</w:t>
      </w:r>
      <w:r>
        <w:rPr>
          <w:rFonts w:ascii="Times New Roman" w:hAnsi="Times New Roman" w:eastAsia="Times New Roman" w:cs="Times New Roman"/>
          <w:color w:val="231F20"/>
          <w:spacing w:val="6"/>
        </w:rPr>
        <w:t>57</w:t>
      </w:r>
      <w:r>
        <w:rPr>
          <w:color w:val="231F20"/>
          <w:spacing w:val="6"/>
        </w:rPr>
        <w:t>个基点，同业资产和负债、  </w:t>
      </w:r>
      <w:r>
        <w:rPr>
          <w:color w:val="231F20"/>
          <w:spacing w:val="9"/>
        </w:rPr>
        <w:t>持有和发行债券等项目的利率也不同程度变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动，参试银行利息净收入下降导致资本充足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10"/>
        </w:rPr>
        <w:t>率三年累计下降</w:t>
      </w:r>
      <w:r>
        <w:rPr>
          <w:rFonts w:ascii="Times New Roman" w:hAnsi="Times New Roman" w:eastAsia="Times New Roman" w:cs="Times New Roman"/>
          <w:color w:val="231F20"/>
          <w:spacing w:val="10"/>
        </w:rPr>
        <w:t>0.25</w:t>
      </w:r>
      <w:r>
        <w:rPr>
          <w:color w:val="231F20"/>
          <w:spacing w:val="10"/>
        </w:rPr>
        <w:t>个百分点。综合考虑无</w:t>
      </w:r>
      <w:r>
        <w:rPr>
          <w:color w:val="231F20"/>
          <w:spacing w:val="15"/>
          <w:w w:val="101"/>
        </w:rPr>
        <w:t xml:space="preserve"> </w:t>
      </w:r>
      <w:r>
        <w:rPr>
          <w:color w:val="231F20"/>
          <w:spacing w:val="9"/>
        </w:rPr>
        <w:t>风险利率下行和信用利差扩大等因素后，参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试银行持有的以公允价值计量的债券估值上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升，导致资本充足率三年累计上升</w:t>
      </w:r>
      <w:r>
        <w:rPr>
          <w:rFonts w:ascii="Times New Roman" w:hAnsi="Times New Roman" w:eastAsia="Times New Roman" w:cs="Times New Roman"/>
          <w:color w:val="231F20"/>
          <w:spacing w:val="5"/>
        </w:rPr>
        <w:t>0.2</w:t>
      </w:r>
      <w:r>
        <w:rPr>
          <w:color w:val="231F20"/>
          <w:spacing w:val="5"/>
        </w:rPr>
        <w:t>个百分</w:t>
      </w:r>
    </w:p>
    <w:p>
      <w:pPr>
        <w:spacing w:line="252" w:lineRule="auto"/>
        <w:sectPr>
          <w:type w:val="continuous"/>
          <w:pgSz w:w="11906" w:h="16158"/>
          <w:pgMar w:top="1385" w:right="1415" w:bottom="400" w:left="1700" w:header="1062" w:footer="0" w:gutter="0"/>
          <w:cols w:equalWidth="0" w:num="2">
            <w:col w:w="4525" w:space="100"/>
            <w:col w:w="4165" w:space="0"/>
          </w:cols>
        </w:sectPr>
        <w:rPr/>
      </w:pPr>
    </w:p>
    <w:p>
      <w:pPr>
        <w:pStyle w:val="BodyText"/>
        <w:ind w:left="2" w:right="4" w:firstLine="339"/>
        <w:spacing w:before="187" w:line="170" w:lineRule="auto"/>
        <w:rPr>
          <w:sz w:val="16"/>
          <w:szCs w:val="16"/>
        </w:rPr>
      </w:pPr>
      <w:r>
        <w:rPr>
          <w:rFonts w:ascii="DejaVu Sans" w:hAnsi="DejaVu Sans" w:eastAsia="DejaVu Sans" w:cs="DejaVu Sans"/>
          <w:sz w:val="16"/>
          <w:szCs w:val="16"/>
          <w:color w:val="231F20"/>
          <w:spacing w:val="4"/>
        </w:rPr>
        <w:t>①</w:t>
      </w:r>
      <w:r>
        <w:rPr>
          <w:rFonts w:ascii="DejaVu Sans" w:hAnsi="DejaVu Sans" w:eastAsia="DejaVu Sans" w:cs="DejaVu Sans"/>
          <w:sz w:val="16"/>
          <w:szCs w:val="16"/>
          <w:color w:val="231F20"/>
          <w:spacing w:val="40"/>
        </w:rPr>
        <w:t xml:space="preserve"> </w:t>
      </w:r>
      <w:r>
        <w:rPr>
          <w:sz w:val="16"/>
          <w:szCs w:val="16"/>
          <w:color w:val="231F20"/>
          <w:spacing w:val="4"/>
        </w:rPr>
        <w:t>部分测试年度中，中度情景下的整体资本充足率略高于轻度情景，主要原因是：按照宏观压力情</w:t>
      </w:r>
      <w:r>
        <w:rPr>
          <w:sz w:val="16"/>
          <w:szCs w:val="16"/>
          <w:color w:val="231F20"/>
          <w:spacing w:val="3"/>
        </w:rPr>
        <w:t>景的设置，轻度、</w:t>
      </w:r>
      <w:r>
        <w:rPr>
          <w:sz w:val="16"/>
          <w:szCs w:val="16"/>
          <w:color w:val="231F20"/>
        </w:rPr>
        <w:t xml:space="preserve"> </w:t>
      </w:r>
      <w:r>
        <w:rPr>
          <w:sz w:val="16"/>
          <w:szCs w:val="16"/>
          <w:color w:val="231F20"/>
          <w:spacing w:val="3"/>
        </w:rPr>
        <w:t>中度、重度三种压力情景下，银行业资产规模增速依次降低。因此同一年</w:t>
      </w:r>
      <w:r>
        <w:rPr>
          <w:sz w:val="16"/>
          <w:szCs w:val="16"/>
          <w:color w:val="231F20"/>
          <w:spacing w:val="2"/>
        </w:rPr>
        <w:t>度中，虽然压力越重，资本充足率的分子（资本净</w:t>
      </w:r>
      <w:r>
        <w:rPr>
          <w:sz w:val="16"/>
          <w:szCs w:val="16"/>
          <w:color w:val="231F20"/>
        </w:rPr>
        <w:t xml:space="preserve"> </w:t>
      </w:r>
      <w:r>
        <w:rPr>
          <w:sz w:val="16"/>
          <w:szCs w:val="16"/>
          <w:color w:val="231F20"/>
          <w:spacing w:val="3"/>
        </w:rPr>
        <w:t>额）越低，但分母（风险加权资产）受资产增速的影响也更低，导致部分</w:t>
      </w:r>
      <w:r>
        <w:rPr>
          <w:sz w:val="16"/>
          <w:szCs w:val="16"/>
          <w:color w:val="231F20"/>
          <w:spacing w:val="2"/>
        </w:rPr>
        <w:t>情况下，中度情景下的资本充足率反而略高于轻度</w:t>
      </w:r>
      <w:r>
        <w:rPr>
          <w:sz w:val="16"/>
          <w:szCs w:val="16"/>
          <w:color w:val="231F20"/>
        </w:rPr>
        <w:t xml:space="preserve"> </w:t>
      </w:r>
      <w:r>
        <w:rPr>
          <w:sz w:val="16"/>
          <w:szCs w:val="16"/>
          <w:color w:val="231F20"/>
          <w:spacing w:val="-5"/>
        </w:rPr>
        <w:t>情景。</w:t>
      </w:r>
    </w:p>
    <w:p>
      <w:pPr>
        <w:spacing w:line="170" w:lineRule="auto"/>
        <w:sectPr>
          <w:type w:val="continuous"/>
          <w:pgSz w:w="11906" w:h="16158"/>
          <w:pgMar w:top="1385" w:right="1415" w:bottom="400" w:left="1700" w:header="1062" w:footer="0" w:gutter="0"/>
          <w:cols w:equalWidth="0" w:num="1">
            <w:col w:w="8789" w:space="0"/>
          </w:cols>
        </w:sectPr>
        <w:rPr>
          <w:sz w:val="16"/>
          <w:szCs w:val="16"/>
        </w:rPr>
      </w:pPr>
    </w:p>
    <w:p>
      <w:pPr>
        <w:spacing w:before="172"/>
        <w:rPr/>
      </w:pPr>
      <w:r/>
    </w:p>
    <w:p>
      <w:pPr>
        <w:sectPr>
          <w:headerReference w:type="default" r:id="rId303"/>
          <w:pgSz w:w="11906" w:h="16158"/>
          <w:pgMar w:top="1367" w:right="1699" w:bottom="400" w:left="1361" w:header="1044" w:footer="0" w:gutter="0"/>
          <w:cols w:equalWidth="0" w:num="1">
            <w:col w:w="8845" w:space="0"/>
          </w:cols>
        </w:sectPr>
        <w:rPr/>
      </w:pPr>
    </w:p>
    <w:p>
      <w:pPr>
        <w:pStyle w:val="BodyText"/>
        <w:ind w:left="64" w:right="358" w:firstLine="2"/>
        <w:spacing w:before="41" w:line="249" w:lineRule="auto"/>
        <w:rPr/>
      </w:pPr>
      <w:r>
        <w:rPr>
          <w:color w:val="231F20"/>
          <w:spacing w:val="8"/>
        </w:rPr>
        <w:t>点。汇率变化导致参试银行资本充足率三年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-3"/>
        </w:rPr>
        <w:t>累计上升</w:t>
      </w:r>
      <w:r>
        <w:rPr>
          <w:rFonts w:ascii="Times New Roman" w:hAnsi="Times New Roman" w:eastAsia="Times New Roman" w:cs="Times New Roman"/>
          <w:color w:val="231F20"/>
          <w:spacing w:val="-3"/>
        </w:rPr>
        <w:t>0.01</w:t>
      </w:r>
      <w:r>
        <w:rPr>
          <w:color w:val="231F20"/>
          <w:spacing w:val="-3"/>
        </w:rPr>
        <w:t>个百分点。</w:t>
      </w:r>
    </w:p>
    <w:p>
      <w:pPr>
        <w:pStyle w:val="BodyText"/>
        <w:ind w:left="62" w:right="358" w:firstLine="426"/>
        <w:spacing w:before="13" w:line="253" w:lineRule="auto"/>
        <w:jc w:val="both"/>
        <w:rPr/>
      </w:pPr>
      <w:r>
        <w:rPr>
          <w:color w:val="231F20"/>
          <w:spacing w:val="9"/>
        </w:rPr>
        <w:t>充足的拨备水平和盈利能力可一定程度 </w:t>
      </w:r>
      <w:r>
        <w:rPr>
          <w:color w:val="231F20"/>
          <w:spacing w:val="2"/>
        </w:rPr>
        <w:t>缓解资本下降压力。</w:t>
      </w:r>
      <w:r>
        <w:rPr>
          <w:color w:val="231F20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2"/>
        </w:rPr>
        <w:t>2024</w:t>
      </w:r>
      <w:r>
        <w:rPr>
          <w:color w:val="231F20"/>
          <w:spacing w:val="2"/>
        </w:rPr>
        <w:t>年末，</w:t>
      </w:r>
      <w:r>
        <w:rPr>
          <w:color w:val="231F20"/>
          <w:spacing w:val="-9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2"/>
        </w:rPr>
        <w:t>23</w:t>
      </w:r>
      <w:r>
        <w:rPr>
          <w:color w:val="231F20"/>
          <w:spacing w:val="2"/>
        </w:rPr>
        <w:t>家参试银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行整体拨备覆盖率为</w:t>
      </w:r>
      <w:r>
        <w:rPr>
          <w:rFonts w:ascii="Times New Roman" w:hAnsi="Times New Roman" w:eastAsia="Times New Roman" w:cs="Times New Roman"/>
          <w:color w:val="231F20"/>
          <w:spacing w:val="6"/>
        </w:rPr>
        <w:t>240.9%</w:t>
      </w:r>
      <w:r>
        <w:rPr>
          <w:color w:val="231F20"/>
          <w:spacing w:val="6"/>
        </w:rPr>
        <w:t>，远高于监管要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求；整体资产利润率为</w:t>
      </w:r>
      <w:r>
        <w:rPr>
          <w:rFonts w:ascii="Times New Roman" w:hAnsi="Times New Roman" w:eastAsia="Times New Roman" w:cs="Times New Roman"/>
          <w:color w:val="231F20"/>
          <w:spacing w:val="1"/>
        </w:rPr>
        <w:t>0.71%</w:t>
      </w:r>
      <w:r>
        <w:rPr>
          <w:color w:val="231F20"/>
          <w:spacing w:val="1"/>
        </w:rPr>
        <w:t>，高于商业银行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8"/>
        </w:rPr>
        <w:t>平均水平。在重度压力情景下，未来三年资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</w:rPr>
        <w:t>本充足率降幅中的</w:t>
      </w:r>
      <w:r>
        <w:rPr>
          <w:rFonts w:ascii="Times New Roman" w:hAnsi="Times New Roman" w:eastAsia="Times New Roman" w:cs="Times New Roman"/>
          <w:color w:val="231F20"/>
        </w:rPr>
        <w:t>1.25</w:t>
      </w:r>
      <w:r>
        <w:rPr>
          <w:color w:val="231F20"/>
        </w:rPr>
        <w:t>个百分点表现为超额损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8"/>
        </w:rPr>
        <w:t>失准备的消耗，损失前利润可累计提升资本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-2"/>
        </w:rPr>
        <w:t>充足率</w:t>
      </w:r>
      <w:r>
        <w:rPr>
          <w:rFonts w:ascii="Times New Roman" w:hAnsi="Times New Roman" w:eastAsia="Times New Roman" w:cs="Times New Roman"/>
          <w:color w:val="231F20"/>
          <w:spacing w:val="-2"/>
        </w:rPr>
        <w:t>5.23</w:t>
      </w:r>
      <w:r>
        <w:rPr>
          <w:color w:val="231F20"/>
          <w:spacing w:val="-2"/>
        </w:rPr>
        <w:t>个百分点（见图</w:t>
      </w:r>
      <w:r>
        <w:rPr>
          <w:rFonts w:ascii="Times New Roman" w:hAnsi="Times New Roman" w:eastAsia="Times New Roman" w:cs="Times New Roman"/>
          <w:color w:val="231F20"/>
          <w:spacing w:val="-2"/>
        </w:rPr>
        <w:t>3</w:t>
      </w:r>
      <w:r>
        <w:rPr>
          <w:color w:val="231F20"/>
          <w:spacing w:val="-2"/>
        </w:rPr>
        <w:t>）。</w:t>
      </w:r>
    </w:p>
    <w:p>
      <w:pPr>
        <w:pStyle w:val="BodyText"/>
        <w:ind w:left="209"/>
        <w:spacing w:before="166" w:line="136" w:lineRule="exact"/>
        <w:rPr>
          <w:sz w:val="13"/>
          <w:szCs w:val="13"/>
        </w:rPr>
      </w:pPr>
      <w:r>
        <w:rPr>
          <w:sz w:val="13"/>
          <w:szCs w:val="13"/>
          <w:color w:val="231F20"/>
          <w:position w:val="1"/>
        </w:rPr>
        <w:drawing>
          <wp:inline distT="0" distB="0" distL="0" distR="0">
            <wp:extent cx="132029" cy="39319"/>
            <wp:effectExtent l="0" t="0" r="0" b="0"/>
            <wp:docPr id="596" name="IM 596"/>
            <wp:cNvGraphicFramePr/>
            <a:graphic>
              <a:graphicData uri="http://schemas.openxmlformats.org/drawingml/2006/picture">
                <pic:pic>
                  <pic:nvPicPr>
                    <pic:cNvPr id="596" name="IM 596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29" cy="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0"/>
          <w:w w:val="102"/>
          <w:position w:val="-1"/>
        </w:rPr>
        <w:t xml:space="preserve"> </w:t>
      </w:r>
      <w:r>
        <w:rPr>
          <w:sz w:val="13"/>
          <w:szCs w:val="13"/>
          <w:color w:val="231F20"/>
          <w:spacing w:val="6"/>
          <w:position w:val="-1"/>
        </w:rPr>
        <w:t>①信用风险</w:t>
      </w:r>
      <w:r>
        <w:rPr>
          <w:sz w:val="13"/>
          <w:szCs w:val="13"/>
          <w:color w:val="231F20"/>
          <w:spacing w:val="6"/>
          <w:position w:val="-1"/>
        </w:rPr>
        <w:t xml:space="preserve">                 </w:t>
      </w:r>
      <w:r>
        <w:rPr>
          <w:sz w:val="13"/>
          <w:szCs w:val="13"/>
          <w:position w:val="1"/>
        </w:rPr>
        <w:drawing>
          <wp:inline distT="0" distB="0" distL="0" distR="0">
            <wp:extent cx="132029" cy="39319"/>
            <wp:effectExtent l="0" t="0" r="0" b="0"/>
            <wp:docPr id="598" name="IM 598"/>
            <wp:cNvGraphicFramePr/>
            <a:graphic>
              <a:graphicData uri="http://schemas.openxmlformats.org/drawingml/2006/picture">
                <pic:pic>
                  <pic:nvPicPr>
                    <pic:cNvPr id="598" name="IM 598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29" cy="3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4"/>
          <w:position w:val="-1"/>
        </w:rPr>
        <w:t xml:space="preserve"> </w:t>
      </w:r>
      <w:r>
        <w:rPr>
          <w:sz w:val="13"/>
          <w:szCs w:val="13"/>
          <w:color w:val="231F20"/>
          <w:spacing w:val="6"/>
          <w:position w:val="-1"/>
        </w:rPr>
        <w:t>②利率变动引起的利息净收入变动</w:t>
      </w:r>
    </w:p>
    <w:p>
      <w:pPr>
        <w:pStyle w:val="BodyText"/>
        <w:ind w:left="209"/>
        <w:spacing w:before="50" w:line="136" w:lineRule="exact"/>
        <w:rPr>
          <w:sz w:val="13"/>
          <w:szCs w:val="13"/>
        </w:rPr>
      </w:pPr>
      <w:r>
        <w:rPr>
          <w:sz w:val="13"/>
          <w:szCs w:val="13"/>
          <w:color w:val="231E20"/>
          <w:position w:val="1"/>
        </w:rPr>
        <w:drawing>
          <wp:inline distT="0" distB="0" distL="0" distR="0">
            <wp:extent cx="132029" cy="39306"/>
            <wp:effectExtent l="0" t="0" r="0" b="0"/>
            <wp:docPr id="600" name="IM 600"/>
            <wp:cNvGraphicFramePr/>
            <a:graphic>
              <a:graphicData uri="http://schemas.openxmlformats.org/drawingml/2006/picture">
                <pic:pic>
                  <pic:nvPicPr>
                    <pic:cNvPr id="600" name="IM 600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29" cy="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E20"/>
          <w:spacing w:val="10"/>
          <w:w w:val="101"/>
          <w:position w:val="-1"/>
        </w:rPr>
        <w:t xml:space="preserve"> </w:t>
      </w:r>
      <w:r>
        <w:rPr>
          <w:sz w:val="13"/>
          <w:szCs w:val="13"/>
          <w:color w:val="231E20"/>
          <w:spacing w:val="7"/>
          <w:position w:val="-1"/>
        </w:rPr>
        <w:t>③债券估值损益</w:t>
      </w:r>
      <w:r>
        <w:rPr>
          <w:sz w:val="13"/>
          <w:szCs w:val="13"/>
          <w:color w:val="231E20"/>
          <w:spacing w:val="7"/>
          <w:position w:val="-1"/>
        </w:rPr>
        <w:t xml:space="preserve">        </w:t>
      </w:r>
      <w:r>
        <w:rPr>
          <w:sz w:val="13"/>
          <w:szCs w:val="13"/>
          <w:position w:val="1"/>
        </w:rPr>
        <w:drawing>
          <wp:inline distT="0" distB="0" distL="0" distR="0">
            <wp:extent cx="132029" cy="39306"/>
            <wp:effectExtent l="0" t="0" r="0" b="0"/>
            <wp:docPr id="602" name="IM 602"/>
            <wp:cNvGraphicFramePr/>
            <a:graphic>
              <a:graphicData uri="http://schemas.openxmlformats.org/drawingml/2006/picture">
                <pic:pic>
                  <pic:nvPicPr>
                    <pic:cNvPr id="602" name="IM 60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29" cy="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E20"/>
          <w:spacing w:val="4"/>
          <w:position w:val="-1"/>
        </w:rPr>
        <w:t xml:space="preserve"> </w:t>
      </w:r>
      <w:r>
        <w:rPr>
          <w:sz w:val="13"/>
          <w:szCs w:val="13"/>
          <w:color w:val="231F20"/>
          <w:spacing w:val="7"/>
          <w:position w:val="-1"/>
        </w:rPr>
        <w:t>④外汇敞口估值损益</w:t>
      </w:r>
    </w:p>
    <w:p>
      <w:pPr>
        <w:pStyle w:val="BodyText"/>
        <w:ind w:left="209"/>
        <w:spacing w:before="55" w:line="135" w:lineRule="exact"/>
        <w:rPr>
          <w:sz w:val="13"/>
          <w:szCs w:val="13"/>
        </w:rPr>
      </w:pPr>
      <w:r>
        <w:rPr>
          <w:sz w:val="13"/>
          <w:szCs w:val="13"/>
          <w:color w:val="231F20"/>
          <w:position w:val="-2"/>
        </w:rPr>
        <w:drawing>
          <wp:inline distT="0" distB="0" distL="0" distR="0">
            <wp:extent cx="238902" cy="84378"/>
            <wp:effectExtent l="0" t="0" r="0" b="0"/>
            <wp:docPr id="604" name="IM 604"/>
            <wp:cNvGraphicFramePr/>
            <a:graphic>
              <a:graphicData uri="http://schemas.openxmlformats.org/drawingml/2006/picture">
                <pic:pic>
                  <pic:nvPicPr>
                    <pic:cNvPr id="604" name="IM 60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8902" cy="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5"/>
          <w:position w:val="-2"/>
        </w:rPr>
        <w:t>税收和分红</w:t>
      </w:r>
      <w:r>
        <w:rPr>
          <w:sz w:val="13"/>
          <w:szCs w:val="13"/>
          <w:color w:val="231F20"/>
          <w:spacing w:val="5"/>
          <w:position w:val="-2"/>
        </w:rPr>
        <w:t xml:space="preserve">             </w:t>
      </w:r>
      <w:r>
        <w:rPr>
          <w:sz w:val="13"/>
          <w:szCs w:val="13"/>
          <w:position w:val="-3"/>
        </w:rPr>
        <w:drawing>
          <wp:inline distT="0" distB="0" distL="0" distR="0">
            <wp:extent cx="238899" cy="84378"/>
            <wp:effectExtent l="0" t="0" r="0" b="0"/>
            <wp:docPr id="606" name="IM 606"/>
            <wp:cNvGraphicFramePr/>
            <a:graphic>
              <a:graphicData uri="http://schemas.openxmlformats.org/drawingml/2006/picture">
                <pic:pic>
                  <pic:nvPicPr>
                    <pic:cNvPr id="606" name="IM 606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8899" cy="8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5"/>
          <w:position w:val="-2"/>
        </w:rPr>
        <w:t>风险加权资产</w:t>
      </w:r>
    </w:p>
    <w:p>
      <w:pPr>
        <w:pStyle w:val="BodyText"/>
        <w:ind w:left="209"/>
        <w:spacing w:before="27" w:line="134" w:lineRule="exact"/>
        <w:rPr>
          <w:sz w:val="13"/>
          <w:szCs w:val="13"/>
        </w:rPr>
      </w:pPr>
      <w:r>
        <w:rPr>
          <w:sz w:val="13"/>
          <w:szCs w:val="13"/>
          <w:color w:val="231F20"/>
          <w:position w:val="1"/>
        </w:rPr>
        <w:drawing>
          <wp:inline distT="0" distB="0" distL="0" distR="0">
            <wp:extent cx="132029" cy="39306"/>
            <wp:effectExtent l="0" t="0" r="0" b="0"/>
            <wp:docPr id="608" name="IM 608"/>
            <wp:cNvGraphicFramePr/>
            <a:graphic>
              <a:graphicData uri="http://schemas.openxmlformats.org/drawingml/2006/picture">
                <pic:pic>
                  <pic:nvPicPr>
                    <pic:cNvPr id="608" name="IM 608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2029" cy="3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3"/>
          <w:szCs w:val="13"/>
          <w:color w:val="231F20"/>
          <w:spacing w:val="11"/>
          <w:position w:val="-1"/>
        </w:rPr>
        <w:t xml:space="preserve"> </w:t>
      </w:r>
      <w:r>
        <w:rPr>
          <w:sz w:val="13"/>
          <w:szCs w:val="13"/>
          <w:color w:val="231F20"/>
          <w:spacing w:val="9"/>
          <w:position w:val="-1"/>
        </w:rPr>
        <w:t>损失前利润</w:t>
      </w:r>
      <w:r>
        <w:rPr>
          <w:sz w:val="13"/>
          <w:szCs w:val="13"/>
          <w:color w:val="231F20"/>
          <w:spacing w:val="9"/>
          <w:position w:val="-1"/>
        </w:rPr>
        <w:t xml:space="preserve">                </w:t>
      </w:r>
      <w:r>
        <w:rPr>
          <w:rFonts w:ascii="DejaVu Sans" w:hAnsi="DejaVu Sans" w:eastAsia="DejaVu Sans" w:cs="DejaVu Sans"/>
          <w:sz w:val="13"/>
          <w:szCs w:val="13"/>
          <w:color w:val="782D36"/>
          <w:spacing w:val="9"/>
          <w:position w:val="-1"/>
        </w:rPr>
        <w:t>—</w:t>
      </w:r>
      <w:r>
        <w:rPr>
          <w:rFonts w:ascii="DejaVu Sans" w:hAnsi="DejaVu Sans" w:eastAsia="DejaVu Sans" w:cs="DejaVu Sans"/>
          <w:sz w:val="13"/>
          <w:szCs w:val="13"/>
          <w:color w:val="782D36"/>
          <w:spacing w:val="-16"/>
          <w:position w:val="-1"/>
        </w:rPr>
        <w:t xml:space="preserve"> </w:t>
      </w:r>
      <w:r>
        <w:rPr>
          <w:sz w:val="13"/>
          <w:szCs w:val="13"/>
          <w:color w:val="231F20"/>
          <w:spacing w:val="9"/>
          <w:position w:val="-1"/>
        </w:rPr>
        <w:t>资本充足率较上年变动</w:t>
      </w:r>
    </w:p>
    <w:p>
      <w:pPr>
        <w:ind w:left="59"/>
        <w:spacing w:before="90" w:line="200" w:lineRule="auto"/>
        <w:rPr>
          <w:rFonts w:ascii="DejaVu Sans" w:hAnsi="DejaVu Sans" w:eastAsia="DejaVu Sans" w:cs="DejaVu Sans"/>
          <w:sz w:val="10"/>
          <w:szCs w:val="10"/>
        </w:rPr>
      </w:pPr>
      <w:r>
        <w:rPr>
          <w:rFonts w:ascii="DejaVu Sans" w:hAnsi="DejaVu Sans" w:eastAsia="DejaVu Sans" w:cs="DejaVu Sans"/>
          <w:sz w:val="10"/>
          <w:szCs w:val="10"/>
          <w:color w:val="231F20"/>
          <w:spacing w:val="8"/>
        </w:rPr>
        <w:t>%</w:t>
      </w:r>
    </w:p>
    <w:p>
      <w:pPr>
        <w:ind w:left="88"/>
        <w:spacing w:before="65" w:line="218" w:lineRule="auto"/>
        <w:rPr>
          <w:rFonts w:ascii="DejaVu Sans" w:hAnsi="DejaVu Sans" w:eastAsia="DejaVu Sans" w:cs="DejaVu Sans"/>
          <w:sz w:val="9"/>
          <w:szCs w:val="9"/>
        </w:rPr>
      </w:pPr>
      <w:r>
        <w:pict>
          <v:shape id="_x0000_s188" style="position:absolute;margin-left:11.0596pt;margin-top:5.71768pt;mso-position-vertical-relative:text;mso-position-horizontal-relative:text;width:2.95pt;height:91.5pt;z-index:-250824704;" filled="false" strokecolor="#231F20" strokeweight="0.50pt" coordsize="59,1830" coordorigin="0,0" path="m5,5l5,1824m5,5l53,5m5,264l53,264m5,524l53,524m5,784l53,784m5,1044l53,1044m5,1304l53,1304m5,1564l53,1564m5,1824l53,1824e">
            <v:stroke joinstyle="miter" miterlimit="10"/>
          </v:shape>
        </w:pict>
      </w:r>
      <w:r>
        <w:rPr>
          <w:rFonts w:ascii="DejaVu Sans" w:hAnsi="DejaVu Sans" w:eastAsia="DejaVu Sans" w:cs="DejaVu Sans"/>
          <w:sz w:val="9"/>
          <w:szCs w:val="9"/>
          <w:color w:val="231E20"/>
        </w:rPr>
        <w:t>3</w:t>
      </w:r>
    </w:p>
    <w:p>
      <w:pPr>
        <w:ind w:left="79"/>
        <w:spacing w:before="165" w:line="217" w:lineRule="auto"/>
        <w:rPr>
          <w:rFonts w:ascii="DejaVu Sans" w:hAnsi="DejaVu Sans" w:eastAsia="DejaVu Sans" w:cs="DejaVu Sans"/>
          <w:sz w:val="9"/>
          <w:szCs w:val="9"/>
        </w:rPr>
      </w:pPr>
      <w:r>
        <w:drawing>
          <wp:anchor distT="0" distB="0" distL="0" distR="0" simplePos="0" relativeHeight="252494848" behindDoc="0" locked="0" layoutInCell="1" allowOverlap="1">
            <wp:simplePos x="0" y="0"/>
            <wp:positionH relativeFrom="column">
              <wp:posOffset>190931</wp:posOffset>
            </wp:positionH>
            <wp:positionV relativeFrom="paragraph">
              <wp:posOffset>151607</wp:posOffset>
            </wp:positionV>
            <wp:extent cx="126136" cy="304546"/>
            <wp:effectExtent l="0" t="0" r="0" b="0"/>
            <wp:wrapNone/>
            <wp:docPr id="610" name="IM 610"/>
            <wp:cNvGraphicFramePr/>
            <a:graphic>
              <a:graphicData uri="http://schemas.openxmlformats.org/drawingml/2006/picture">
                <pic:pic>
                  <pic:nvPicPr>
                    <pic:cNvPr id="610" name="IM 610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304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3824" behindDoc="0" locked="0" layoutInCell="1" allowOverlap="1">
            <wp:simplePos x="0" y="0"/>
            <wp:positionH relativeFrom="column">
              <wp:posOffset>1095171</wp:posOffset>
            </wp:positionH>
            <wp:positionV relativeFrom="paragraph">
              <wp:posOffset>151620</wp:posOffset>
            </wp:positionV>
            <wp:extent cx="126149" cy="305727"/>
            <wp:effectExtent l="0" t="0" r="0" b="0"/>
            <wp:wrapNone/>
            <wp:docPr id="612" name="IM 612"/>
            <wp:cNvGraphicFramePr/>
            <a:graphic>
              <a:graphicData uri="http://schemas.openxmlformats.org/drawingml/2006/picture">
                <pic:pic>
                  <pic:nvPicPr>
                    <pic:cNvPr id="612" name="IM 612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49" cy="3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5872" behindDoc="0" locked="0" layoutInCell="1" allowOverlap="1">
            <wp:simplePos x="0" y="0"/>
            <wp:positionH relativeFrom="column">
              <wp:posOffset>1994128</wp:posOffset>
            </wp:positionH>
            <wp:positionV relativeFrom="paragraph">
              <wp:posOffset>143644</wp:posOffset>
            </wp:positionV>
            <wp:extent cx="126136" cy="301409"/>
            <wp:effectExtent l="0" t="0" r="0" b="0"/>
            <wp:wrapNone/>
            <wp:docPr id="614" name="IM 614"/>
            <wp:cNvGraphicFramePr/>
            <a:graphic>
              <a:graphicData uri="http://schemas.openxmlformats.org/drawingml/2006/picture">
                <pic:pic>
                  <pic:nvPicPr>
                    <pic:cNvPr id="614" name="IM 614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301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6896" behindDoc="0" locked="0" layoutInCell="1" allowOverlap="1">
            <wp:simplePos x="0" y="0"/>
            <wp:positionH relativeFrom="column">
              <wp:posOffset>416661</wp:posOffset>
            </wp:positionH>
            <wp:positionV relativeFrom="paragraph">
              <wp:posOffset>160244</wp:posOffset>
            </wp:positionV>
            <wp:extent cx="126136" cy="295909"/>
            <wp:effectExtent l="0" t="0" r="0" b="0"/>
            <wp:wrapNone/>
            <wp:docPr id="616" name="IM 616"/>
            <wp:cNvGraphicFramePr/>
            <a:graphic>
              <a:graphicData uri="http://schemas.openxmlformats.org/drawingml/2006/picture">
                <pic:pic>
                  <pic:nvPicPr>
                    <pic:cNvPr id="616" name="IM 616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29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9968" behindDoc="0" locked="0" layoutInCell="1" allowOverlap="1">
            <wp:simplePos x="0" y="0"/>
            <wp:positionH relativeFrom="column">
              <wp:posOffset>642391</wp:posOffset>
            </wp:positionH>
            <wp:positionV relativeFrom="paragraph">
              <wp:posOffset>170200</wp:posOffset>
            </wp:positionV>
            <wp:extent cx="126136" cy="281838"/>
            <wp:effectExtent l="0" t="0" r="0" b="0"/>
            <wp:wrapNone/>
            <wp:docPr id="618" name="IM 618"/>
            <wp:cNvGraphicFramePr/>
            <a:graphic>
              <a:graphicData uri="http://schemas.openxmlformats.org/drawingml/2006/picture">
                <pic:pic>
                  <pic:nvPicPr>
                    <pic:cNvPr id="618" name="IM 618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28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7920" behindDoc="0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170645</wp:posOffset>
            </wp:positionV>
            <wp:extent cx="126136" cy="290360"/>
            <wp:effectExtent l="0" t="0" r="0" b="0"/>
            <wp:wrapNone/>
            <wp:docPr id="620" name="IM 620"/>
            <wp:cNvGraphicFramePr/>
            <a:graphic>
              <a:graphicData uri="http://schemas.openxmlformats.org/drawingml/2006/picture">
                <pic:pic>
                  <pic:nvPicPr>
                    <pic:cNvPr id="620" name="IM 620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29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0992" behindDoc="0" locked="0" layoutInCell="1" allowOverlap="1">
            <wp:simplePos x="0" y="0"/>
            <wp:positionH relativeFrom="column">
              <wp:posOffset>1541335</wp:posOffset>
            </wp:positionH>
            <wp:positionV relativeFrom="paragraph">
              <wp:posOffset>170645</wp:posOffset>
            </wp:positionV>
            <wp:extent cx="126136" cy="276212"/>
            <wp:effectExtent l="0" t="0" r="0" b="0"/>
            <wp:wrapNone/>
            <wp:docPr id="622" name="IM 622"/>
            <wp:cNvGraphicFramePr/>
            <a:graphic>
              <a:graphicData uri="http://schemas.openxmlformats.org/drawingml/2006/picture">
                <pic:pic>
                  <pic:nvPicPr>
                    <pic:cNvPr id="622" name="IM 622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2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98944" behindDoc="0" locked="0" layoutInCell="1" allowOverlap="1">
            <wp:simplePos x="0" y="0"/>
            <wp:positionH relativeFrom="column">
              <wp:posOffset>2219871</wp:posOffset>
            </wp:positionH>
            <wp:positionV relativeFrom="paragraph">
              <wp:posOffset>176398</wp:posOffset>
            </wp:positionV>
            <wp:extent cx="126136" cy="289052"/>
            <wp:effectExtent l="0" t="0" r="0" b="0"/>
            <wp:wrapNone/>
            <wp:docPr id="624" name="IM 624"/>
            <wp:cNvGraphicFramePr/>
            <a:graphic>
              <a:graphicData uri="http://schemas.openxmlformats.org/drawingml/2006/picture">
                <pic:pic>
                  <pic:nvPicPr>
                    <pic:cNvPr id="624" name="IM 624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28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2016" behindDoc="0" locked="0" layoutInCell="1" allowOverlap="1">
            <wp:simplePos x="0" y="0"/>
            <wp:positionH relativeFrom="column">
              <wp:posOffset>2446908</wp:posOffset>
            </wp:positionH>
            <wp:positionV relativeFrom="paragraph">
              <wp:posOffset>171521</wp:posOffset>
            </wp:positionV>
            <wp:extent cx="126149" cy="271107"/>
            <wp:effectExtent l="0" t="0" r="0" b="0"/>
            <wp:wrapNone/>
            <wp:docPr id="626" name="IM 626"/>
            <wp:cNvGraphicFramePr/>
            <a:graphic>
              <a:graphicData uri="http://schemas.openxmlformats.org/drawingml/2006/picture">
                <pic:pic>
                  <pic:nvPicPr>
                    <pic:cNvPr id="626" name="IM 626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49" cy="271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eastAsia="DejaVu Sans" w:cs="DejaVu Sans"/>
          <w:sz w:val="9"/>
          <w:szCs w:val="9"/>
          <w:color w:val="231F20"/>
          <w:spacing w:val="5"/>
        </w:rPr>
        <w:t>2</w:t>
      </w:r>
    </w:p>
    <w:p>
      <w:pPr>
        <w:ind w:left="103"/>
        <w:spacing w:before="165" w:line="217" w:lineRule="auto"/>
        <w:rPr>
          <w:rFonts w:ascii="DejaVu Sans" w:hAnsi="DejaVu Sans" w:eastAsia="DejaVu Sans" w:cs="DejaVu Sans"/>
          <w:sz w:val="9"/>
          <w:szCs w:val="9"/>
        </w:rPr>
      </w:pPr>
      <w:r>
        <w:drawing>
          <wp:anchor distT="0" distB="0" distL="0" distR="0" simplePos="0" relativeHeight="252490752" behindDoc="1" locked="0" layoutInCell="1" allowOverlap="1">
            <wp:simplePos x="0" y="0"/>
            <wp:positionH relativeFrom="column">
              <wp:posOffset>49852</wp:posOffset>
            </wp:positionH>
            <wp:positionV relativeFrom="paragraph">
              <wp:posOffset>266453</wp:posOffset>
            </wp:positionV>
            <wp:extent cx="2577505" cy="63656"/>
            <wp:effectExtent l="0" t="0" r="0" b="0"/>
            <wp:wrapNone/>
            <wp:docPr id="628" name="IM 628"/>
            <wp:cNvGraphicFramePr/>
            <a:graphic>
              <a:graphicData uri="http://schemas.openxmlformats.org/drawingml/2006/picture">
                <pic:pic>
                  <pic:nvPicPr>
                    <pic:cNvPr id="628" name="IM 628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77505" cy="63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eastAsia="DejaVu Sans" w:cs="DejaVu Sans"/>
          <w:sz w:val="9"/>
          <w:szCs w:val="9"/>
          <w:color w:val="231E20"/>
        </w:rPr>
        <w:t>1</w:t>
      </w:r>
    </w:p>
    <w:p>
      <w:pPr>
        <w:ind w:left="12"/>
        <w:spacing w:before="213" w:line="449" w:lineRule="exact"/>
        <w:rPr/>
      </w:pPr>
      <w:r>
        <w:drawing>
          <wp:anchor distT="0" distB="0" distL="0" distR="0" simplePos="0" relativeHeight="252474368" behindDoc="1" locked="0" layoutInCell="1" allowOverlap="1">
            <wp:simplePos x="0" y="0"/>
            <wp:positionH relativeFrom="column">
              <wp:posOffset>416661</wp:posOffset>
            </wp:positionH>
            <wp:positionV relativeFrom="paragraph">
              <wp:posOffset>135667</wp:posOffset>
            </wp:positionV>
            <wp:extent cx="126136" cy="363029"/>
            <wp:effectExtent l="0" t="0" r="0" b="0"/>
            <wp:wrapNone/>
            <wp:docPr id="630" name="IM 630"/>
            <wp:cNvGraphicFramePr/>
            <a:graphic>
              <a:graphicData uri="http://schemas.openxmlformats.org/drawingml/2006/picture">
                <pic:pic>
                  <pic:nvPicPr>
                    <pic:cNvPr id="630" name="IM 630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36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9488" behindDoc="1" locked="0" layoutInCell="1" allowOverlap="1">
            <wp:simplePos x="0" y="0"/>
            <wp:positionH relativeFrom="column">
              <wp:posOffset>642391</wp:posOffset>
            </wp:positionH>
            <wp:positionV relativeFrom="paragraph">
              <wp:posOffset>135667</wp:posOffset>
            </wp:positionV>
            <wp:extent cx="126136" cy="541604"/>
            <wp:effectExtent l="0" t="0" r="0" b="0"/>
            <wp:wrapNone/>
            <wp:docPr id="632" name="IM 632"/>
            <wp:cNvGraphicFramePr/>
            <a:graphic>
              <a:graphicData uri="http://schemas.openxmlformats.org/drawingml/2006/picture">
                <pic:pic>
                  <pic:nvPicPr>
                    <pic:cNvPr id="632" name="IM 632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541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9728" behindDoc="1" locked="0" layoutInCell="1" allowOverlap="1">
            <wp:simplePos x="0" y="0"/>
            <wp:positionH relativeFrom="column">
              <wp:posOffset>1318260</wp:posOffset>
            </wp:positionH>
            <wp:positionV relativeFrom="paragraph">
              <wp:posOffset>135668</wp:posOffset>
            </wp:positionV>
            <wp:extent cx="126136" cy="389585"/>
            <wp:effectExtent l="0" t="0" r="0" b="0"/>
            <wp:wrapNone/>
            <wp:docPr id="634" name="IM 634"/>
            <wp:cNvGraphicFramePr/>
            <a:graphic>
              <a:graphicData uri="http://schemas.openxmlformats.org/drawingml/2006/picture">
                <pic:pic>
                  <pic:nvPicPr>
                    <pic:cNvPr id="634" name="IM 634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3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8704" behindDoc="1" locked="0" layoutInCell="1" allowOverlap="1">
            <wp:simplePos x="0" y="0"/>
            <wp:positionH relativeFrom="column">
              <wp:posOffset>1541335</wp:posOffset>
            </wp:positionH>
            <wp:positionV relativeFrom="paragraph">
              <wp:posOffset>135667</wp:posOffset>
            </wp:positionV>
            <wp:extent cx="126136" cy="385927"/>
            <wp:effectExtent l="0" t="0" r="0" b="0"/>
            <wp:wrapNone/>
            <wp:docPr id="636" name="IM 636"/>
            <wp:cNvGraphicFramePr/>
            <a:graphic>
              <a:graphicData uri="http://schemas.openxmlformats.org/drawingml/2006/picture">
                <pic:pic>
                  <pic:nvPicPr>
                    <pic:cNvPr id="636" name="IM 636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3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2560" behindDoc="1" locked="0" layoutInCell="1" allowOverlap="1">
            <wp:simplePos x="0" y="0"/>
            <wp:positionH relativeFrom="column">
              <wp:posOffset>1994128</wp:posOffset>
            </wp:positionH>
            <wp:positionV relativeFrom="paragraph">
              <wp:posOffset>135654</wp:posOffset>
            </wp:positionV>
            <wp:extent cx="126136" cy="427545"/>
            <wp:effectExtent l="0" t="0" r="0" b="0"/>
            <wp:wrapNone/>
            <wp:docPr id="638" name="IM 638"/>
            <wp:cNvGraphicFramePr/>
            <a:graphic>
              <a:graphicData uri="http://schemas.openxmlformats.org/drawingml/2006/picture">
                <pic:pic>
                  <pic:nvPicPr>
                    <pic:cNvPr id="638" name="IM 638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42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2320" behindDoc="1" locked="0" layoutInCell="1" allowOverlap="1">
            <wp:simplePos x="0" y="0"/>
            <wp:positionH relativeFrom="column">
              <wp:posOffset>2219871</wp:posOffset>
            </wp:positionH>
            <wp:positionV relativeFrom="paragraph">
              <wp:posOffset>135654</wp:posOffset>
            </wp:positionV>
            <wp:extent cx="126136" cy="465607"/>
            <wp:effectExtent l="0" t="0" r="0" b="0"/>
            <wp:wrapNone/>
            <wp:docPr id="640" name="IM 640"/>
            <wp:cNvGraphicFramePr/>
            <a:graphic>
              <a:graphicData uri="http://schemas.openxmlformats.org/drawingml/2006/picture">
                <pic:pic>
                  <pic:nvPicPr>
                    <pic:cNvPr id="640" name="IM 640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465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5392" behindDoc="1" locked="0" layoutInCell="1" allowOverlap="1">
            <wp:simplePos x="0" y="0"/>
            <wp:positionH relativeFrom="column">
              <wp:posOffset>2446908</wp:posOffset>
            </wp:positionH>
            <wp:positionV relativeFrom="paragraph">
              <wp:posOffset>135667</wp:posOffset>
            </wp:positionV>
            <wp:extent cx="126149" cy="434390"/>
            <wp:effectExtent l="0" t="0" r="0" b="0"/>
            <wp:wrapNone/>
            <wp:docPr id="642" name="IM 642"/>
            <wp:cNvGraphicFramePr/>
            <a:graphic>
              <a:graphicData uri="http://schemas.openxmlformats.org/drawingml/2006/picture">
                <pic:pic>
                  <pic:nvPicPr>
                    <pic:cNvPr id="642" name="IM 642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49" cy="4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9"/>
        </w:rPr>
        <w:drawing>
          <wp:inline distT="0" distB="0" distL="0" distR="0">
            <wp:extent cx="2511198" cy="284540"/>
            <wp:effectExtent l="0" t="0" r="0" b="0"/>
            <wp:docPr id="644" name="IM 644"/>
            <wp:cNvGraphicFramePr/>
            <a:graphic>
              <a:graphicData uri="http://schemas.openxmlformats.org/drawingml/2006/picture">
                <pic:pic>
                  <pic:nvPicPr>
                    <pic:cNvPr id="644" name="IM 644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11198" cy="28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7" w:lineRule="auto"/>
        <w:rPr>
          <w:rFonts w:ascii="DejaVu Sans" w:hAnsi="DejaVu Sans" w:eastAsia="DejaVu Sans" w:cs="DejaVu Sans"/>
          <w:sz w:val="13"/>
          <w:szCs w:val="13"/>
        </w:rPr>
      </w:pPr>
      <w:r>
        <w:rPr>
          <w:rFonts w:ascii="DejaVu Sans" w:hAnsi="DejaVu Sans" w:eastAsia="DejaVu Sans" w:cs="DejaVu Sans"/>
          <w:sz w:val="13"/>
          <w:szCs w:val="13"/>
          <w:color w:val="231F20"/>
          <w:spacing w:val="3"/>
        </w:rPr>
        <w:t>-2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3"/>
        </w:rPr>
        <w:t xml:space="preserve">   </w:t>
      </w:r>
      <w:r>
        <w:rPr>
          <w:sz w:val="13"/>
          <w:szCs w:val="13"/>
          <w:position w:val="-5"/>
        </w:rPr>
        <w:drawing>
          <wp:inline distT="0" distB="0" distL="0" distR="0">
            <wp:extent cx="126136" cy="103387"/>
            <wp:effectExtent l="0" t="0" r="0" b="0"/>
            <wp:docPr id="646" name="IM 646"/>
            <wp:cNvGraphicFramePr/>
            <a:graphic>
              <a:graphicData uri="http://schemas.openxmlformats.org/drawingml/2006/picture">
                <pic:pic>
                  <pic:nvPicPr>
                    <pic:cNvPr id="646" name="IM 646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1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3"/>
          <w:szCs w:val="13"/>
          <w:color w:val="231F20"/>
          <w:spacing w:val="11"/>
        </w:rPr>
        <w:t xml:space="preserve">   </w:t>
      </w:r>
      <w:r>
        <w:rPr>
          <w:rFonts w:ascii="DejaVu Sans" w:hAnsi="DejaVu Sans" w:eastAsia="DejaVu Sans" w:cs="DejaVu Sans"/>
          <w:sz w:val="13"/>
          <w:szCs w:val="13"/>
          <w:u w:val="double" w:color="000000"/>
          <w:color w:val="231F20"/>
          <w:spacing w:val="8"/>
        </w:rPr>
        <w:t xml:space="preserve">  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1"/>
          <w:w w:val="101"/>
        </w:rPr>
        <w:t xml:space="preserve">   </w:t>
      </w:r>
      <w:r>
        <w:rPr>
          <w:rFonts w:ascii="DejaVu Sans" w:hAnsi="DejaVu Sans" w:eastAsia="DejaVu Sans" w:cs="DejaVu Sans"/>
          <w:sz w:val="13"/>
          <w:szCs w:val="13"/>
          <w:strike/>
          <w:u w:val="single" w:color="000000"/>
          <w:color w:val="231F20"/>
          <w:spacing w:val="8"/>
        </w:rPr>
        <w:t xml:space="preserve">  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"/>
        </w:rPr>
        <w:t xml:space="preserve">            </w:t>
      </w:r>
      <w:r>
        <w:rPr>
          <w:sz w:val="13"/>
          <w:szCs w:val="13"/>
          <w:position w:val="-5"/>
        </w:rPr>
        <w:drawing>
          <wp:inline distT="0" distB="0" distL="0" distR="0">
            <wp:extent cx="126149" cy="97179"/>
            <wp:effectExtent l="0" t="0" r="0" b="0"/>
            <wp:docPr id="648" name="IM 648"/>
            <wp:cNvGraphicFramePr/>
            <a:graphic>
              <a:graphicData uri="http://schemas.openxmlformats.org/drawingml/2006/picture">
                <pic:pic>
                  <pic:nvPicPr>
                    <pic:cNvPr id="648" name="IM 648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49" cy="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3"/>
          <w:szCs w:val="13"/>
          <w:color w:val="231F20"/>
          <w:spacing w:val="12"/>
          <w:w w:val="101"/>
        </w:rPr>
        <w:t xml:space="preserve">   </w:t>
      </w:r>
      <w:r>
        <w:rPr>
          <w:rFonts w:ascii="DejaVu Sans" w:hAnsi="DejaVu Sans" w:eastAsia="DejaVu Sans" w:cs="DejaVu Sans"/>
          <w:sz w:val="13"/>
          <w:szCs w:val="13"/>
          <w:u w:val="single" w:color="000000"/>
          <w:color w:val="231F20"/>
          <w:spacing w:val="8"/>
        </w:rPr>
        <w:t xml:space="preserve">  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0"/>
        </w:rPr>
        <w:t xml:space="preserve">   </w:t>
      </w:r>
      <w:r>
        <w:rPr>
          <w:rFonts w:ascii="DejaVu Sans" w:hAnsi="DejaVu Sans" w:eastAsia="DejaVu Sans" w:cs="DejaVu Sans"/>
          <w:sz w:val="13"/>
          <w:szCs w:val="13"/>
          <w:u w:val="single" w:color="000000"/>
          <w:color w:val="231F20"/>
          <w:spacing w:val="8"/>
        </w:rPr>
        <w:t xml:space="preserve">    </w:t>
      </w:r>
      <w:r>
        <w:rPr>
          <w:rFonts w:ascii="DejaVu Sans" w:hAnsi="DejaVu Sans" w:eastAsia="DejaVu Sans" w:cs="DejaVu Sans"/>
          <w:sz w:val="13"/>
          <w:szCs w:val="13"/>
          <w:color w:val="231F20"/>
          <w:spacing w:val="1"/>
        </w:rPr>
        <w:t xml:space="preserve">            </w:t>
      </w:r>
      <w:r>
        <w:rPr>
          <w:rFonts w:ascii="DejaVu Sans" w:hAnsi="DejaVu Sans" w:eastAsia="DejaVu Sans" w:cs="DejaVu Sans"/>
          <w:sz w:val="13"/>
          <w:szCs w:val="13"/>
          <w:strike/>
          <w:color w:val="231F20"/>
          <w:spacing w:val="1"/>
        </w:rPr>
        <w:t xml:space="preserve">     </w:t>
      </w:r>
    </w:p>
    <w:p>
      <w:pPr>
        <w:ind w:left="82"/>
        <w:spacing w:line="305" w:lineRule="exact"/>
        <w:rPr>
          <w:sz w:val="11"/>
          <w:szCs w:val="11"/>
        </w:rPr>
      </w:pPr>
      <w:r>
        <w:drawing>
          <wp:anchor distT="0" distB="0" distL="0" distR="0" simplePos="0" relativeHeight="252492800" behindDoc="1" locked="0" layoutInCell="1" allowOverlap="1">
            <wp:simplePos x="0" y="0"/>
            <wp:positionH relativeFrom="column">
              <wp:posOffset>2446908</wp:posOffset>
            </wp:positionH>
            <wp:positionV relativeFrom="paragraph">
              <wp:posOffset>46475</wp:posOffset>
            </wp:positionV>
            <wp:extent cx="126149" cy="19253"/>
            <wp:effectExtent l="0" t="0" r="0" b="0"/>
            <wp:wrapNone/>
            <wp:docPr id="650" name="IM 650"/>
            <wp:cNvGraphicFramePr/>
            <a:graphic>
              <a:graphicData uri="http://schemas.openxmlformats.org/drawingml/2006/picture">
                <pic:pic>
                  <pic:nvPicPr>
                    <pic:cNvPr id="650" name="IM 650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49" cy="19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ejaVu Sans" w:hAnsi="DejaVu Sans" w:eastAsia="DejaVu Sans" w:cs="DejaVu Sans"/>
          <w:sz w:val="11"/>
          <w:szCs w:val="11"/>
          <w:color w:val="231F20"/>
          <w:spacing w:val="-9"/>
          <w:position w:val="2"/>
        </w:rPr>
        <w:t>3</w:t>
      </w:r>
      <w:r>
        <w:rPr>
          <w:rFonts w:ascii="DejaVu Sans" w:hAnsi="DejaVu Sans" w:eastAsia="DejaVu Sans" w:cs="DejaVu Sans"/>
          <w:sz w:val="11"/>
          <w:szCs w:val="11"/>
          <w:color w:val="231F20"/>
          <w:spacing w:val="-9"/>
          <w:position w:val="2"/>
        </w:rPr>
        <w:t xml:space="preserve">      </w:t>
      </w:r>
      <w:r>
        <w:rPr>
          <w:sz w:val="11"/>
          <w:szCs w:val="11"/>
          <w:position w:val="4"/>
        </w:rPr>
        <w:drawing>
          <wp:inline distT="0" distB="0" distL="0" distR="0">
            <wp:extent cx="126136" cy="116182"/>
            <wp:effectExtent l="0" t="0" r="0" b="0"/>
            <wp:docPr id="652" name="IM 652"/>
            <wp:cNvGraphicFramePr/>
            <a:graphic>
              <a:graphicData uri="http://schemas.openxmlformats.org/drawingml/2006/picture">
                <pic:pic>
                  <pic:nvPicPr>
                    <pic:cNvPr id="652" name="IM 652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11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1"/>
          <w:szCs w:val="11"/>
          <w:color w:val="231F20"/>
          <w:spacing w:val="4"/>
          <w:position w:val="2"/>
        </w:rPr>
        <w:t xml:space="preserve">    </w:t>
      </w:r>
      <w:r>
        <w:rPr>
          <w:sz w:val="11"/>
          <w:szCs w:val="11"/>
        </w:rPr>
        <w:drawing>
          <wp:inline distT="0" distB="0" distL="0" distR="0">
            <wp:extent cx="126136" cy="154353"/>
            <wp:effectExtent l="0" t="0" r="0" b="0"/>
            <wp:docPr id="654" name="IM 654"/>
            <wp:cNvGraphicFramePr/>
            <a:graphic>
              <a:graphicData uri="http://schemas.openxmlformats.org/drawingml/2006/picture">
                <pic:pic>
                  <pic:nvPicPr>
                    <pic:cNvPr id="654" name="IM 654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15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1"/>
          <w:szCs w:val="11"/>
          <w:color w:val="231F20"/>
          <w:spacing w:val="1"/>
          <w:position w:val="2"/>
        </w:rPr>
        <w:t xml:space="preserve">                        </w:t>
      </w:r>
      <w:r>
        <w:rPr>
          <w:sz w:val="11"/>
          <w:szCs w:val="11"/>
          <w:position w:val="6"/>
        </w:rPr>
        <w:drawing>
          <wp:inline distT="0" distB="0" distL="0" distR="0">
            <wp:extent cx="126149" cy="106705"/>
            <wp:effectExtent l="0" t="0" r="0" b="0"/>
            <wp:docPr id="656" name="IM 656"/>
            <wp:cNvGraphicFramePr/>
            <a:graphic>
              <a:graphicData uri="http://schemas.openxmlformats.org/drawingml/2006/picture">
                <pic:pic>
                  <pic:nvPicPr>
                    <pic:cNvPr id="656" name="IM 656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49" cy="10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1"/>
          <w:szCs w:val="11"/>
          <w:color w:val="231F20"/>
          <w:spacing w:val="5"/>
          <w:position w:val="2"/>
        </w:rPr>
        <w:t xml:space="preserve">    </w:t>
      </w:r>
      <w:r>
        <w:rPr>
          <w:sz w:val="11"/>
          <w:szCs w:val="11"/>
          <w:position w:val="1"/>
        </w:rPr>
        <w:drawing>
          <wp:inline distT="0" distB="0" distL="0" distR="0">
            <wp:extent cx="126136" cy="127932"/>
            <wp:effectExtent l="0" t="0" r="0" b="0"/>
            <wp:docPr id="658" name="IM 658"/>
            <wp:cNvGraphicFramePr/>
            <a:graphic>
              <a:graphicData uri="http://schemas.openxmlformats.org/drawingml/2006/picture">
                <pic:pic>
                  <pic:nvPicPr>
                    <pic:cNvPr id="658" name="IM 658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12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1"/>
          <w:szCs w:val="11"/>
          <w:color w:val="231F20"/>
          <w:spacing w:val="3"/>
          <w:position w:val="2"/>
        </w:rPr>
        <w:t xml:space="preserve">    </w:t>
      </w:r>
      <w:r>
        <w:rPr>
          <w:sz w:val="11"/>
          <w:szCs w:val="11"/>
          <w:position w:val="-3"/>
        </w:rPr>
        <w:drawing>
          <wp:inline distT="0" distB="0" distL="0" distR="0">
            <wp:extent cx="126136" cy="152093"/>
            <wp:effectExtent l="0" t="0" r="0" b="0"/>
            <wp:docPr id="660" name="IM 660"/>
            <wp:cNvGraphicFramePr/>
            <a:graphic>
              <a:graphicData uri="http://schemas.openxmlformats.org/drawingml/2006/picture">
                <pic:pic>
                  <pic:nvPicPr>
                    <pic:cNvPr id="660" name="IM 660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15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1"/>
          <w:szCs w:val="11"/>
          <w:color w:val="231F20"/>
          <w:spacing w:val="1"/>
          <w:position w:val="2"/>
        </w:rPr>
        <w:t xml:space="preserve">              </w:t>
      </w:r>
      <w:r>
        <w:rPr>
          <w:sz w:val="11"/>
          <w:szCs w:val="11"/>
          <w:position w:val="3"/>
        </w:rPr>
        <w:drawing>
          <wp:inline distT="0" distB="0" distL="0" distR="0">
            <wp:extent cx="126136" cy="91285"/>
            <wp:effectExtent l="0" t="0" r="0" b="0"/>
            <wp:docPr id="662" name="IM 662"/>
            <wp:cNvGraphicFramePr/>
            <a:graphic>
              <a:graphicData uri="http://schemas.openxmlformats.org/drawingml/2006/picture">
                <pic:pic>
                  <pic:nvPicPr>
                    <pic:cNvPr id="662" name="IM 662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1"/>
          <w:szCs w:val="11"/>
          <w:color w:val="231F20"/>
          <w:spacing w:val="7"/>
          <w:position w:val="2"/>
        </w:rPr>
        <w:t xml:space="preserve">    </w:t>
      </w:r>
      <w:r>
        <w:rPr>
          <w:sz w:val="11"/>
          <w:szCs w:val="11"/>
          <w:position w:val="-5"/>
        </w:rPr>
        <w:drawing>
          <wp:inline distT="0" distB="0" distL="0" distR="0">
            <wp:extent cx="126136" cy="106069"/>
            <wp:effectExtent l="0" t="0" r="0" b="0"/>
            <wp:docPr id="664" name="IM 664"/>
            <wp:cNvGraphicFramePr/>
            <a:graphic>
              <a:graphicData uri="http://schemas.openxmlformats.org/drawingml/2006/picture">
                <pic:pic>
                  <pic:nvPicPr>
                    <pic:cNvPr id="664" name="IM 664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36" cy="10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1"/>
          <w:szCs w:val="11"/>
          <w:color w:val="231F20"/>
          <w:spacing w:val="5"/>
          <w:position w:val="2"/>
        </w:rPr>
        <w:t xml:space="preserve">    </w:t>
      </w:r>
      <w:r>
        <w:rPr>
          <w:sz w:val="11"/>
          <w:szCs w:val="11"/>
          <w:position w:val="-6"/>
        </w:rPr>
        <w:drawing>
          <wp:inline distT="0" distB="0" distL="0" distR="0">
            <wp:extent cx="126149" cy="125984"/>
            <wp:effectExtent l="0" t="0" r="0" b="0"/>
            <wp:docPr id="666" name="IM 666"/>
            <wp:cNvGraphicFramePr/>
            <a:graphic>
              <a:graphicData uri="http://schemas.openxmlformats.org/drawingml/2006/picture">
                <pic:pic>
                  <pic:nvPicPr>
                    <pic:cNvPr id="666" name="IM 666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6149" cy="12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75" w:line="163" w:lineRule="auto"/>
        <w:rPr>
          <w:rFonts w:ascii="DejaVu Sans" w:hAnsi="DejaVu Sans" w:eastAsia="DejaVu Sans" w:cs="DejaVu Sans"/>
          <w:sz w:val="12"/>
          <w:szCs w:val="12"/>
        </w:rPr>
      </w:pPr>
      <w:r>
        <w:rPr>
          <w:rFonts w:ascii="DejaVu Sans" w:hAnsi="DejaVu Sans" w:eastAsia="DejaVu Sans" w:cs="DejaVu Sans"/>
          <w:sz w:val="12"/>
          <w:szCs w:val="12"/>
          <w:color w:val="231E20"/>
          <w:spacing w:val="8"/>
        </w:rPr>
        <w:t>-</w:t>
      </w:r>
      <w:r>
        <w:rPr>
          <w:rFonts w:ascii="DejaVu Sans" w:hAnsi="DejaVu Sans" w:eastAsia="DejaVu Sans" w:cs="DejaVu Sans"/>
          <w:sz w:val="12"/>
          <w:szCs w:val="12"/>
          <w:color w:val="231F20"/>
          <w:spacing w:val="8"/>
        </w:rPr>
        <w:t>4</w:t>
      </w:r>
    </w:p>
    <w:p>
      <w:pPr>
        <w:pStyle w:val="BodyText"/>
        <w:ind w:left="260"/>
        <w:spacing w:before="10" w:line="164" w:lineRule="auto"/>
        <w:rPr>
          <w:sz w:val="10"/>
          <w:szCs w:val="10"/>
        </w:rPr>
      </w:pP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>2025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13"/>
        </w:rPr>
        <w:t xml:space="preserve"> 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>2026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14"/>
          <w:w w:val="103"/>
        </w:rPr>
        <w:t xml:space="preserve"> 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>2027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 xml:space="preserve">           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>2025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13"/>
        </w:rPr>
        <w:t xml:space="preserve"> 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>2026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14"/>
          <w:w w:val="101"/>
        </w:rPr>
        <w:t xml:space="preserve"> 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>2027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 xml:space="preserve">           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>2025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4"/>
        </w:rPr>
        <w:t xml:space="preserve">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3"/>
        </w:rPr>
        <w:t xml:space="preserve"> 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3"/>
        </w:rPr>
        <w:t>2026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14"/>
        </w:rPr>
        <w:t xml:space="preserve">  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3"/>
        </w:rPr>
        <w:t>2027</w:t>
      </w:r>
      <w:r>
        <w:rPr>
          <w:rFonts w:ascii="DejaVu Sans" w:hAnsi="DejaVu Sans" w:eastAsia="DejaVu Sans" w:cs="DejaVu Sans"/>
          <w:sz w:val="10"/>
          <w:szCs w:val="10"/>
          <w:color w:val="231F20"/>
          <w:spacing w:val="1"/>
        </w:rPr>
        <w:t xml:space="preserve">  </w:t>
      </w:r>
      <w:r>
        <w:rPr>
          <w:sz w:val="10"/>
          <w:szCs w:val="10"/>
          <w:color w:val="231F20"/>
          <w:spacing w:val="3"/>
        </w:rPr>
        <w:t>年</w:t>
      </w:r>
    </w:p>
    <w:p>
      <w:pPr>
        <w:pStyle w:val="BodyText"/>
        <w:ind w:left="599"/>
        <w:spacing w:before="36" w:line="132" w:lineRule="exact"/>
        <w:rPr>
          <w:sz w:val="13"/>
          <w:szCs w:val="13"/>
        </w:rPr>
      </w:pPr>
      <w:r>
        <w:rPr>
          <w:sz w:val="13"/>
          <w:szCs w:val="13"/>
          <w:color w:val="231F20"/>
          <w:spacing w:val="1"/>
          <w:position w:val="-1"/>
        </w:rPr>
        <w:t>轻度</w:t>
      </w:r>
      <w:r>
        <w:rPr>
          <w:sz w:val="13"/>
          <w:szCs w:val="13"/>
          <w:color w:val="231F20"/>
          <w:spacing w:val="1"/>
          <w:position w:val="-1"/>
        </w:rPr>
        <w:t xml:space="preserve">                                       </w:t>
      </w:r>
      <w:r>
        <w:rPr>
          <w:sz w:val="13"/>
          <w:szCs w:val="13"/>
          <w:color w:val="231F20"/>
          <w:spacing w:val="1"/>
          <w:position w:val="-1"/>
        </w:rPr>
        <w:t>中度</w:t>
      </w:r>
      <w:r>
        <w:rPr>
          <w:sz w:val="13"/>
          <w:szCs w:val="13"/>
          <w:color w:val="231F20"/>
          <w:spacing w:val="1"/>
          <w:position w:val="-1"/>
        </w:rPr>
        <w:t xml:space="preserve">                                      </w:t>
      </w:r>
      <w:r>
        <w:rPr>
          <w:sz w:val="13"/>
          <w:szCs w:val="13"/>
          <w:color w:val="231F20"/>
          <w:spacing w:val="1"/>
          <w:position w:val="-1"/>
        </w:rPr>
        <w:t>重度</w:t>
      </w:r>
    </w:p>
    <w:p>
      <w:pPr>
        <w:pStyle w:val="BodyText"/>
        <w:ind w:left="937"/>
        <w:spacing w:before="167" w:line="17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图3</w:t>
      </w:r>
      <w:r>
        <w:rPr>
          <w:sz w:val="18"/>
          <w:szCs w:val="18"/>
          <w:color w:val="231F20"/>
          <w:spacing w:val="9"/>
        </w:rPr>
        <w:t xml:space="preserve">    </w:t>
      </w:r>
      <w:r>
        <w:rPr>
          <w:sz w:val="18"/>
          <w:szCs w:val="18"/>
          <w:color w:val="231F20"/>
          <w:spacing w:val="-3"/>
        </w:rPr>
        <w:t>资本充足率变化分解情况</w:t>
      </w:r>
    </w:p>
    <w:p>
      <w:pPr>
        <w:pStyle w:val="BodyText"/>
        <w:ind w:left="473"/>
        <w:spacing w:before="347" w:line="180" w:lineRule="auto"/>
        <w:rPr>
          <w:sz w:val="24"/>
          <w:szCs w:val="24"/>
        </w:rPr>
      </w:pPr>
      <w:r>
        <w:rPr>
          <w:sz w:val="24"/>
          <w:szCs w:val="24"/>
          <w:color w:val="231F20"/>
          <w:spacing w:val="-3"/>
        </w:rPr>
        <w:t>（二）敏感性压力测试</w:t>
      </w:r>
    </w:p>
    <w:p>
      <w:pPr>
        <w:pStyle w:val="BodyText"/>
        <w:ind w:left="59" w:right="358" w:firstLine="427"/>
        <w:spacing w:before="240" w:line="236" w:lineRule="auto"/>
        <w:rPr/>
      </w:pPr>
      <w:r>
        <w:rPr>
          <w:color w:val="231F20"/>
          <w:spacing w:val="9"/>
        </w:rPr>
        <w:t>银行业整体对资产质量恶化具有一定的</w:t>
      </w:r>
      <w:r>
        <w:rPr>
          <w:color w:val="231F20"/>
          <w:spacing w:val="11"/>
          <w:w w:val="101"/>
        </w:rPr>
        <w:t xml:space="preserve"> </w:t>
      </w:r>
      <w:r>
        <w:rPr>
          <w:color w:val="231F20"/>
          <w:spacing w:val="11"/>
        </w:rPr>
        <w:t>抵御能力。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11"/>
        </w:rPr>
        <w:t>在整体不良资产率上升</w:t>
      </w:r>
      <w:r>
        <w:rPr>
          <w:rFonts w:ascii="Times New Roman" w:hAnsi="Times New Roman" w:eastAsia="Times New Roman" w:cs="Times New Roman"/>
          <w:color w:val="231F20"/>
          <w:spacing w:val="11"/>
        </w:rPr>
        <w:t>100%</w:t>
      </w:r>
      <w:r>
        <w:rPr>
          <w:rFonts w:ascii="Times New Roman" w:hAnsi="Times New Roman" w:eastAsia="Times New Roman" w:cs="Times New Roman"/>
          <w:color w:val="231F20"/>
          <w:spacing w:val="-11"/>
        </w:rPr>
        <w:t xml:space="preserve"> </w:t>
      </w:r>
      <w:r>
        <w:rPr>
          <w:color w:val="231F20"/>
          <w:spacing w:val="11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200%</w:t>
      </w:r>
      <w:r>
        <w:rPr>
          <w:rFonts w:ascii="Times New Roman" w:hAnsi="Times New Roman" w:eastAsia="Times New Roman" w:cs="Times New Roman"/>
          <w:color w:val="231F20"/>
          <w:spacing w:val="-17"/>
        </w:rPr>
        <w:t xml:space="preserve"> </w:t>
      </w:r>
      <w:r>
        <w:rPr>
          <w:color w:val="231F20"/>
          <w:spacing w:val="-1"/>
        </w:rPr>
        <w:t>、</w:t>
      </w:r>
      <w:r>
        <w:rPr>
          <w:rFonts w:ascii="Times New Roman" w:hAnsi="Times New Roman" w:eastAsia="Times New Roman" w:cs="Times New Roman"/>
          <w:color w:val="231F20"/>
          <w:spacing w:val="-1"/>
        </w:rPr>
        <w:t>400%</w:t>
      </w:r>
      <w:r>
        <w:rPr>
          <w:color w:val="231F20"/>
          <w:spacing w:val="-1"/>
        </w:rPr>
        <w:t>的压力冲击下，</w:t>
      </w:r>
      <w:r>
        <w:rPr>
          <w:color w:val="231F20"/>
          <w:spacing w:val="-2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3235</w:t>
      </w:r>
      <w:r>
        <w:rPr>
          <w:color w:val="231F20"/>
          <w:spacing w:val="-1"/>
        </w:rPr>
        <w:t>家参试银行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整体资本充足率分别降至</w:t>
      </w:r>
      <w:r>
        <w:rPr>
          <w:rFonts w:ascii="Times New Roman" w:hAnsi="Times New Roman" w:eastAsia="Times New Roman" w:cs="Times New Roman"/>
          <w:color w:val="231F20"/>
          <w:spacing w:val="1"/>
        </w:rPr>
        <w:t>14.76%</w:t>
      </w:r>
      <w:r>
        <w:rPr>
          <w:rFonts w:ascii="Times New Roman" w:hAnsi="Times New Roman" w:eastAsia="Times New Roman" w:cs="Times New Roman"/>
          <w:color w:val="231F20"/>
          <w:spacing w:val="-6"/>
        </w:rPr>
        <w:t xml:space="preserve"> </w:t>
      </w:r>
      <w:r>
        <w:rPr>
          <w:color w:val="231F20"/>
          <w:spacing w:val="1"/>
        </w:rPr>
        <w:t>、</w:t>
      </w:r>
      <w:r>
        <w:rPr>
          <w:color w:val="231F20"/>
          <w:spacing w:val="-1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13.44%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  <w:spacing w:val="1"/>
        </w:rPr>
        <w:t>、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2"/>
        </w:rPr>
        <w:t>10.54%</w:t>
      </w:r>
      <w:r>
        <w:rPr>
          <w:color w:val="231F20"/>
          <w:spacing w:val="2"/>
        </w:rPr>
        <w:t>，分别下降</w:t>
      </w:r>
      <w:r>
        <w:rPr>
          <w:rFonts w:ascii="Times New Roman" w:hAnsi="Times New Roman" w:eastAsia="Times New Roman" w:cs="Times New Roman"/>
          <w:color w:val="231F20"/>
          <w:spacing w:val="2"/>
        </w:rPr>
        <w:t>1</w:t>
      </w:r>
      <w:r>
        <w:rPr>
          <w:rFonts w:ascii="Times New Roman" w:hAnsi="Times New Roman" w:eastAsia="Times New Roman" w:cs="Times New Roman"/>
          <w:color w:val="231F20"/>
          <w:spacing w:val="-14"/>
        </w:rPr>
        <w:t xml:space="preserve"> </w:t>
      </w:r>
      <w:r>
        <w:rPr>
          <w:color w:val="231F20"/>
          <w:spacing w:val="2"/>
        </w:rPr>
        <w:t>、</w:t>
      </w:r>
      <w:r>
        <w:rPr>
          <w:rFonts w:ascii="Times New Roman" w:hAnsi="Times New Roman" w:eastAsia="Times New Roman" w:cs="Times New Roman"/>
          <w:color w:val="231F20"/>
          <w:spacing w:val="2"/>
        </w:rPr>
        <w:t>2.32</w:t>
      </w:r>
      <w:r>
        <w:rPr>
          <w:rFonts w:ascii="Times New Roman" w:hAnsi="Times New Roman" w:eastAsia="Times New Roman" w:cs="Times New Roman"/>
          <w:color w:val="231F20"/>
          <w:spacing w:val="-21"/>
        </w:rPr>
        <w:t xml:space="preserve"> </w:t>
      </w:r>
      <w:r>
        <w:rPr>
          <w:color w:val="231F20"/>
          <w:spacing w:val="2"/>
        </w:rPr>
        <w:t>、</w:t>
      </w:r>
      <w:r>
        <w:rPr>
          <w:rFonts w:ascii="Times New Roman" w:hAnsi="Times New Roman" w:eastAsia="Times New Roman" w:cs="Times New Roman"/>
          <w:color w:val="231F20"/>
          <w:spacing w:val="2"/>
        </w:rPr>
        <w:t>5.22</w:t>
      </w:r>
      <w:r>
        <w:rPr>
          <w:color w:val="231F20"/>
          <w:spacing w:val="2"/>
        </w:rPr>
        <w:t>个百分点。</w:t>
      </w:r>
      <w:r>
        <w:rPr>
          <w:color w:val="231F20"/>
        </w:rPr>
        <w:t xml:space="preserve">  </w:t>
      </w:r>
      <w:r>
        <w:rPr>
          <w:color w:val="231F20"/>
          <w:spacing w:val="19"/>
        </w:rPr>
        <w:t>对于</w:t>
      </w:r>
      <w:r>
        <w:rPr>
          <w:rFonts w:ascii="Times New Roman" w:hAnsi="Times New Roman" w:eastAsia="Times New Roman" w:cs="Times New Roman"/>
          <w:color w:val="231F20"/>
          <w:spacing w:val="19"/>
        </w:rPr>
        <w:t>20</w:t>
      </w:r>
      <w:r>
        <w:rPr>
          <w:color w:val="231F20"/>
          <w:spacing w:val="19"/>
        </w:rPr>
        <w:t>家</w:t>
      </w:r>
      <w:r>
        <w:rPr>
          <w:rFonts w:ascii="Times New Roman" w:hAnsi="Times New Roman" w:eastAsia="Times New Roman" w:cs="Times New Roman"/>
          <w:color w:val="231F20"/>
          <w:spacing w:val="19"/>
        </w:rPr>
        <w:t>D</w:t>
      </w:r>
      <w:r>
        <w:rPr>
          <w:color w:val="231F20"/>
          <w:spacing w:val="19"/>
        </w:rPr>
        <w:t>-</w:t>
      </w:r>
      <w:r>
        <w:rPr>
          <w:color w:val="231F20"/>
          <w:spacing w:val="-10"/>
        </w:rPr>
        <w:t xml:space="preserve"> </w:t>
      </w:r>
      <w:r>
        <w:rPr>
          <w:rFonts w:ascii="Times New Roman" w:hAnsi="Times New Roman" w:eastAsia="Times New Roman" w:cs="Times New Roman"/>
          <w:color w:val="231F20"/>
        </w:rPr>
        <w:t>SIBs</w:t>
      </w:r>
      <w:r>
        <w:rPr>
          <w:color w:val="231F20"/>
          <w:spacing w:val="19"/>
        </w:rPr>
        <w:t>，在整体资产质量风险压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力测试的各情景下，整体资本充足率均高于</w:t>
      </w:r>
      <w:r>
        <w:rPr>
          <w:color w:val="231F20"/>
          <w:spacing w:val="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12%</w:t>
      </w:r>
      <w:r>
        <w:rPr>
          <w:color w:val="231F20"/>
          <w:spacing w:val="-1"/>
        </w:rPr>
        <w:t>，抵御资产质量恶化风险的能力较强。对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7"/>
        </w:rPr>
        <w:t>于</w:t>
      </w:r>
      <w:r>
        <w:rPr>
          <w:rFonts w:ascii="Times New Roman" w:hAnsi="Times New Roman" w:eastAsia="Times New Roman" w:cs="Times New Roman"/>
          <w:color w:val="231F20"/>
          <w:spacing w:val="7"/>
        </w:rPr>
        <w:t>3215</w:t>
      </w:r>
      <w:r>
        <w:rPr>
          <w:color w:val="231F20"/>
          <w:spacing w:val="7"/>
        </w:rPr>
        <w:t>家非</w:t>
      </w:r>
      <w:r>
        <w:rPr>
          <w:rFonts w:ascii="Times New Roman" w:hAnsi="Times New Roman" w:eastAsia="Times New Roman" w:cs="Times New Roman"/>
          <w:color w:val="231F20"/>
          <w:spacing w:val="7"/>
        </w:rPr>
        <w:t>D</w:t>
      </w:r>
      <w:r>
        <w:rPr>
          <w:color w:val="231F20"/>
          <w:spacing w:val="7"/>
        </w:rPr>
        <w:t>-</w:t>
      </w:r>
      <w:r>
        <w:rPr>
          <w:rFonts w:ascii="Times New Roman" w:hAnsi="Times New Roman" w:eastAsia="Times New Roman" w:cs="Times New Roman"/>
          <w:color w:val="231F20"/>
        </w:rPr>
        <w:t>SIBs</w:t>
      </w:r>
      <w:r>
        <w:rPr>
          <w:color w:val="231F20"/>
          <w:spacing w:val="7"/>
        </w:rPr>
        <w:t>，若不良资产率分别上升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5" w:right="5" w:firstLine="13"/>
        <w:spacing w:before="39" w:line="267" w:lineRule="auto"/>
        <w:rPr/>
      </w:pPr>
      <w:r>
        <w:rPr>
          <w:rFonts w:ascii="Times New Roman" w:hAnsi="Times New Roman" w:eastAsia="Times New Roman" w:cs="Times New Roman"/>
          <w:color w:val="231F20"/>
          <w:spacing w:val="3"/>
        </w:rPr>
        <w:t>100%</w:t>
      </w:r>
      <w:r>
        <w:rPr>
          <w:rFonts w:ascii="Times New Roman" w:hAnsi="Times New Roman" w:eastAsia="Times New Roman" w:cs="Times New Roman"/>
          <w:color w:val="231F20"/>
          <w:spacing w:val="-10"/>
        </w:rPr>
        <w:t xml:space="preserve"> </w:t>
      </w:r>
      <w:r>
        <w:rPr>
          <w:color w:val="231F20"/>
          <w:spacing w:val="3"/>
        </w:rPr>
        <w:t>、</w:t>
      </w:r>
      <w:r>
        <w:rPr>
          <w:rFonts w:ascii="Times New Roman" w:hAnsi="Times New Roman" w:eastAsia="Times New Roman" w:cs="Times New Roman"/>
          <w:color w:val="231F20"/>
          <w:spacing w:val="3"/>
        </w:rPr>
        <w:t>200%</w:t>
      </w:r>
      <w:r>
        <w:rPr>
          <w:rFonts w:ascii="Times New Roman" w:hAnsi="Times New Roman" w:eastAsia="Times New Roman" w:cs="Times New Roman"/>
          <w:color w:val="231F20"/>
          <w:spacing w:val="-20"/>
        </w:rPr>
        <w:t xml:space="preserve"> </w:t>
      </w:r>
      <w:r>
        <w:rPr>
          <w:color w:val="231F20"/>
          <w:spacing w:val="3"/>
        </w:rPr>
        <w:t>、</w:t>
      </w:r>
      <w:r>
        <w:rPr>
          <w:rFonts w:ascii="Times New Roman" w:hAnsi="Times New Roman" w:eastAsia="Times New Roman" w:cs="Times New Roman"/>
          <w:color w:val="231F20"/>
          <w:spacing w:val="3"/>
        </w:rPr>
        <w:t>400%</w:t>
      </w:r>
      <w:r>
        <w:rPr>
          <w:color w:val="231F20"/>
          <w:spacing w:val="3"/>
        </w:rPr>
        <w:t>，则资本充足率分别降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至</w:t>
      </w:r>
      <w:r>
        <w:rPr>
          <w:rFonts w:ascii="Times New Roman" w:hAnsi="Times New Roman" w:eastAsia="Times New Roman" w:cs="Times New Roman"/>
          <w:color w:val="231F20"/>
          <w:spacing w:val="-4"/>
        </w:rPr>
        <w:t>11.87%</w:t>
      </w:r>
      <w:r>
        <w:rPr>
          <w:rFonts w:ascii="Times New Roman" w:hAnsi="Times New Roman" w:eastAsia="Times New Roman" w:cs="Times New Roman"/>
          <w:color w:val="231F20"/>
          <w:spacing w:val="-13"/>
        </w:rPr>
        <w:t xml:space="preserve"> </w:t>
      </w:r>
      <w:r>
        <w:rPr>
          <w:color w:val="231F20"/>
          <w:spacing w:val="-4"/>
        </w:rPr>
        <w:t>、</w:t>
      </w:r>
      <w:r>
        <w:rPr>
          <w:rFonts w:ascii="Times New Roman" w:hAnsi="Times New Roman" w:eastAsia="Times New Roman" w:cs="Times New Roman"/>
          <w:color w:val="231F20"/>
          <w:spacing w:val="-4"/>
        </w:rPr>
        <w:t>9.96%</w:t>
      </w:r>
      <w:r>
        <w:rPr>
          <w:rFonts w:ascii="Times New Roman" w:hAnsi="Times New Roman" w:eastAsia="Times New Roman" w:cs="Times New Roman"/>
          <w:color w:val="231F20"/>
          <w:spacing w:val="-27"/>
        </w:rPr>
        <w:t xml:space="preserve"> </w:t>
      </w:r>
      <w:r>
        <w:rPr>
          <w:color w:val="231F20"/>
          <w:spacing w:val="-4"/>
        </w:rPr>
        <w:t>、</w:t>
      </w:r>
      <w:r>
        <w:rPr>
          <w:rFonts w:ascii="Times New Roman" w:hAnsi="Times New Roman" w:eastAsia="Times New Roman" w:cs="Times New Roman"/>
          <w:color w:val="231F20"/>
          <w:spacing w:val="-4"/>
        </w:rPr>
        <w:t>5.80%</w:t>
      </w:r>
      <w:r>
        <w:rPr>
          <w:color w:val="231F20"/>
          <w:spacing w:val="-4"/>
        </w:rPr>
        <w:t>（见图</w:t>
      </w:r>
      <w:r>
        <w:rPr>
          <w:rFonts w:ascii="Times New Roman" w:hAnsi="Times New Roman" w:eastAsia="Times New Roman" w:cs="Times New Roman"/>
          <w:color w:val="231F20"/>
          <w:spacing w:val="-4"/>
        </w:rPr>
        <w:t>4</w:t>
      </w:r>
      <w:r>
        <w:rPr>
          <w:color w:val="231F20"/>
          <w:spacing w:val="-4"/>
        </w:rPr>
        <w:t>）。</w:t>
      </w:r>
    </w:p>
    <w:p>
      <w:pPr>
        <w:pStyle w:val="BodyText"/>
        <w:ind w:left="1130"/>
        <w:spacing w:before="336" w:line="130" w:lineRule="exact"/>
        <w:rPr>
          <w:rFonts w:ascii="DejaVu Sans" w:hAnsi="DejaVu Sans" w:eastAsia="DejaVu Sans" w:cs="DejaVu Sans"/>
          <w:sz w:val="13"/>
          <w:szCs w:val="13"/>
        </w:rPr>
      </w:pPr>
      <w:r>
        <w:rPr>
          <w:rFonts w:ascii="DejaVu Sans" w:hAnsi="DejaVu Sans" w:eastAsia="DejaVu Sans" w:cs="DejaVu Sans"/>
          <w:sz w:val="13"/>
          <w:szCs w:val="13"/>
          <w:color w:val="231F20"/>
          <w:position w:val="-1"/>
        </w:rPr>
        <w:drawing>
          <wp:inline distT="0" distB="0" distL="0" distR="0">
            <wp:extent cx="127215" cy="43281"/>
            <wp:effectExtent l="0" t="0" r="0" b="0"/>
            <wp:docPr id="668" name="IM 668"/>
            <wp:cNvGraphicFramePr/>
            <a:graphic>
              <a:graphicData uri="http://schemas.openxmlformats.org/drawingml/2006/picture">
                <pic:pic>
                  <pic:nvPicPr>
                    <pic:cNvPr id="668" name="IM 668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215" cy="4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3"/>
          <w:szCs w:val="13"/>
          <w:color w:val="231F20"/>
          <w:spacing w:val="5"/>
          <w:position w:val="-1"/>
        </w:rPr>
        <w:t xml:space="preserve"> </w:t>
      </w:r>
      <w:r>
        <w:rPr>
          <w:rFonts w:ascii="DejaVu Sans" w:hAnsi="DejaVu Sans" w:eastAsia="DejaVu Sans" w:cs="DejaVu Sans"/>
          <w:sz w:val="13"/>
          <w:szCs w:val="13"/>
          <w:color w:val="231F20"/>
          <w:position w:val="-1"/>
        </w:rPr>
        <w:t>D-SIBs</w:t>
      </w:r>
      <w:r>
        <w:rPr>
          <w:rFonts w:ascii="DejaVu Sans" w:hAnsi="DejaVu Sans" w:eastAsia="DejaVu Sans" w:cs="DejaVu Sans"/>
          <w:sz w:val="13"/>
          <w:szCs w:val="13"/>
          <w:color w:val="231F20"/>
          <w:position w:val="-1"/>
        </w:rPr>
        <w:t xml:space="preserve">         </w:t>
      </w:r>
      <w:r>
        <w:rPr>
          <w:sz w:val="13"/>
          <w:szCs w:val="13"/>
          <w:position w:val="-1"/>
        </w:rPr>
        <w:drawing>
          <wp:inline distT="0" distB="0" distL="0" distR="0">
            <wp:extent cx="127266" cy="43281"/>
            <wp:effectExtent l="0" t="0" r="0" b="0"/>
            <wp:docPr id="670" name="IM 670"/>
            <wp:cNvGraphicFramePr/>
            <a:graphic>
              <a:graphicData uri="http://schemas.openxmlformats.org/drawingml/2006/picture">
                <pic:pic>
                  <pic:nvPicPr>
                    <pic:cNvPr id="670" name="IM 670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266" cy="4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ejaVu Sans" w:hAnsi="DejaVu Sans" w:eastAsia="DejaVu Sans" w:cs="DejaVu Sans"/>
          <w:sz w:val="13"/>
          <w:szCs w:val="13"/>
          <w:color w:val="231F20"/>
          <w:spacing w:val="9"/>
          <w:position w:val="-1"/>
        </w:rPr>
        <w:t xml:space="preserve"> </w:t>
      </w:r>
      <w:r>
        <w:rPr>
          <w:sz w:val="13"/>
          <w:szCs w:val="13"/>
          <w:color w:val="231F20"/>
          <w:position w:val="-1"/>
        </w:rPr>
        <w:t>非D</w:t>
      </w:r>
      <w:r>
        <w:rPr>
          <w:rFonts w:ascii="DejaVu Sans" w:hAnsi="DejaVu Sans" w:eastAsia="DejaVu Sans" w:cs="DejaVu Sans"/>
          <w:sz w:val="13"/>
          <w:szCs w:val="13"/>
          <w:color w:val="231F20"/>
          <w:position w:val="-1"/>
        </w:rPr>
        <w:t>-SIBs</w:t>
      </w:r>
    </w:p>
    <w:p>
      <w:pPr>
        <w:ind w:firstLine="128"/>
        <w:spacing w:before="24" w:line="2311" w:lineRule="exact"/>
        <w:rPr/>
      </w:pPr>
      <w:r>
        <w:drawing>
          <wp:anchor distT="0" distB="0" distL="0" distR="0" simplePos="0" relativeHeight="252486656" behindDoc="1" locked="0" layoutInCell="1" allowOverlap="1">
            <wp:simplePos x="0" y="0"/>
            <wp:positionH relativeFrom="column">
              <wp:posOffset>351652</wp:posOffset>
            </wp:positionH>
            <wp:positionV relativeFrom="paragraph">
              <wp:posOffset>236132</wp:posOffset>
            </wp:positionV>
            <wp:extent cx="116890" cy="1125398"/>
            <wp:effectExtent l="0" t="0" r="0" b="0"/>
            <wp:wrapNone/>
            <wp:docPr id="672" name="IM 672"/>
            <wp:cNvGraphicFramePr/>
            <a:graphic>
              <a:graphicData uri="http://schemas.openxmlformats.org/drawingml/2006/picture">
                <pic:pic>
                  <pic:nvPicPr>
                    <pic:cNvPr id="672" name="IM 672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90" cy="1125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0512" behindDoc="1" locked="0" layoutInCell="1" allowOverlap="1">
            <wp:simplePos x="0" y="0"/>
            <wp:positionH relativeFrom="column">
              <wp:posOffset>506974</wp:posOffset>
            </wp:positionH>
            <wp:positionV relativeFrom="paragraph">
              <wp:posOffset>463284</wp:posOffset>
            </wp:positionV>
            <wp:extent cx="116865" cy="898245"/>
            <wp:effectExtent l="0" t="0" r="0" b="0"/>
            <wp:wrapNone/>
            <wp:docPr id="674" name="IM 674"/>
            <wp:cNvGraphicFramePr/>
            <a:graphic>
              <a:graphicData uri="http://schemas.openxmlformats.org/drawingml/2006/picture">
                <pic:pic>
                  <pic:nvPicPr>
                    <pic:cNvPr id="674" name="IM 674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65" cy="8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7440" behindDoc="1" locked="0" layoutInCell="1" allowOverlap="1">
            <wp:simplePos x="0" y="0"/>
            <wp:positionH relativeFrom="column">
              <wp:posOffset>718797</wp:posOffset>
            </wp:positionH>
            <wp:positionV relativeFrom="paragraph">
              <wp:posOffset>289117</wp:posOffset>
            </wp:positionV>
            <wp:extent cx="116878" cy="1072413"/>
            <wp:effectExtent l="0" t="0" r="0" b="0"/>
            <wp:wrapNone/>
            <wp:docPr id="676" name="IM 676"/>
            <wp:cNvGraphicFramePr/>
            <a:graphic>
              <a:graphicData uri="http://schemas.openxmlformats.org/drawingml/2006/picture">
                <pic:pic>
                  <pic:nvPicPr>
                    <pic:cNvPr id="676" name="IM 676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78" cy="1072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3584" behindDoc="1" locked="0" layoutInCell="1" allowOverlap="1">
            <wp:simplePos x="0" y="0"/>
            <wp:positionH relativeFrom="column">
              <wp:posOffset>874105</wp:posOffset>
            </wp:positionH>
            <wp:positionV relativeFrom="paragraph">
              <wp:posOffset>564110</wp:posOffset>
            </wp:positionV>
            <wp:extent cx="116878" cy="797420"/>
            <wp:effectExtent l="0" t="0" r="0" b="0"/>
            <wp:wrapNone/>
            <wp:docPr id="678" name="IM 678"/>
            <wp:cNvGraphicFramePr/>
            <a:graphic>
              <a:graphicData uri="http://schemas.openxmlformats.org/drawingml/2006/picture">
                <pic:pic>
                  <pic:nvPicPr>
                    <pic:cNvPr id="678" name="IM 678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78" cy="79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8464" behindDoc="1" locked="0" layoutInCell="1" allowOverlap="1">
            <wp:simplePos x="0" y="0"/>
            <wp:positionH relativeFrom="column">
              <wp:posOffset>1085929</wp:posOffset>
            </wp:positionH>
            <wp:positionV relativeFrom="paragraph">
              <wp:posOffset>361177</wp:posOffset>
            </wp:positionV>
            <wp:extent cx="272186" cy="1000353"/>
            <wp:effectExtent l="0" t="0" r="0" b="0"/>
            <wp:wrapNone/>
            <wp:docPr id="680" name="IM 680"/>
            <wp:cNvGraphicFramePr/>
            <a:graphic>
              <a:graphicData uri="http://schemas.openxmlformats.org/drawingml/2006/picture">
                <pic:pic>
                  <pic:nvPicPr>
                    <pic:cNvPr id="680" name="IM 680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2186" cy="1000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3344" behindDoc="1" locked="0" layoutInCell="1" allowOverlap="1">
            <wp:simplePos x="0" y="0"/>
            <wp:positionH relativeFrom="column">
              <wp:posOffset>1453060</wp:posOffset>
            </wp:positionH>
            <wp:positionV relativeFrom="paragraph">
              <wp:posOffset>523533</wp:posOffset>
            </wp:positionV>
            <wp:extent cx="116890" cy="837996"/>
            <wp:effectExtent l="0" t="0" r="0" b="0"/>
            <wp:wrapNone/>
            <wp:docPr id="682" name="IM 682"/>
            <wp:cNvGraphicFramePr/>
            <a:graphic>
              <a:graphicData uri="http://schemas.openxmlformats.org/drawingml/2006/picture">
                <pic:pic>
                  <pic:nvPicPr>
                    <pic:cNvPr id="682" name="IM 682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90" cy="83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1536" behindDoc="1" locked="0" layoutInCell="1" allowOverlap="1">
            <wp:simplePos x="0" y="0"/>
            <wp:positionH relativeFrom="column">
              <wp:posOffset>1608368</wp:posOffset>
            </wp:positionH>
            <wp:positionV relativeFrom="paragraph">
              <wp:posOffset>974091</wp:posOffset>
            </wp:positionV>
            <wp:extent cx="116878" cy="387439"/>
            <wp:effectExtent l="0" t="0" r="0" b="0"/>
            <wp:wrapNone/>
            <wp:docPr id="684" name="IM 684"/>
            <wp:cNvGraphicFramePr/>
            <a:graphic>
              <a:graphicData uri="http://schemas.openxmlformats.org/drawingml/2006/picture">
                <pic:pic>
                  <pic:nvPicPr>
                    <pic:cNvPr id="684" name="IM 684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78" cy="3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5632" behindDoc="1" locked="0" layoutInCell="1" allowOverlap="1">
            <wp:simplePos x="0" y="0"/>
            <wp:positionH relativeFrom="column">
              <wp:posOffset>1820217</wp:posOffset>
            </wp:positionH>
            <wp:positionV relativeFrom="paragraph">
              <wp:posOffset>273381</wp:posOffset>
            </wp:positionV>
            <wp:extent cx="116878" cy="1088149"/>
            <wp:effectExtent l="0" t="0" r="0" b="0"/>
            <wp:wrapNone/>
            <wp:docPr id="686" name="IM 686"/>
            <wp:cNvGraphicFramePr/>
            <a:graphic>
              <a:graphicData uri="http://schemas.openxmlformats.org/drawingml/2006/picture">
                <pic:pic>
                  <pic:nvPicPr>
                    <pic:cNvPr id="686" name="IM 686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78" cy="108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76416" behindDoc="1" locked="0" layoutInCell="1" allowOverlap="1">
            <wp:simplePos x="0" y="0"/>
            <wp:positionH relativeFrom="column">
              <wp:posOffset>1975513</wp:posOffset>
            </wp:positionH>
            <wp:positionV relativeFrom="paragraph">
              <wp:posOffset>538418</wp:posOffset>
            </wp:positionV>
            <wp:extent cx="116878" cy="823112"/>
            <wp:effectExtent l="0" t="0" r="0" b="0"/>
            <wp:wrapNone/>
            <wp:docPr id="688" name="IM 688"/>
            <wp:cNvGraphicFramePr/>
            <a:graphic>
              <a:graphicData uri="http://schemas.openxmlformats.org/drawingml/2006/picture">
                <pic:pic>
                  <pic:nvPicPr>
                    <pic:cNvPr id="688" name="IM 688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78" cy="82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7680" behindDoc="1" locked="0" layoutInCell="1" allowOverlap="1">
            <wp:simplePos x="0" y="0"/>
            <wp:positionH relativeFrom="column">
              <wp:posOffset>2187361</wp:posOffset>
            </wp:positionH>
            <wp:positionV relativeFrom="paragraph">
              <wp:posOffset>313717</wp:posOffset>
            </wp:positionV>
            <wp:extent cx="116878" cy="1047813"/>
            <wp:effectExtent l="0" t="0" r="0" b="0"/>
            <wp:wrapNone/>
            <wp:docPr id="690" name="IM 690"/>
            <wp:cNvGraphicFramePr/>
            <a:graphic>
              <a:graphicData uri="http://schemas.openxmlformats.org/drawingml/2006/picture">
                <pic:pic>
                  <pic:nvPicPr>
                    <pic:cNvPr id="690" name="IM 690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78" cy="104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484608" behindDoc="1" locked="0" layoutInCell="1" allowOverlap="1">
            <wp:simplePos x="0" y="0"/>
            <wp:positionH relativeFrom="column">
              <wp:posOffset>2342645</wp:posOffset>
            </wp:positionH>
            <wp:positionV relativeFrom="paragraph">
              <wp:posOffset>626213</wp:posOffset>
            </wp:positionV>
            <wp:extent cx="116878" cy="735317"/>
            <wp:effectExtent l="0" t="0" r="0" b="0"/>
            <wp:wrapNone/>
            <wp:docPr id="692" name="IM 692"/>
            <wp:cNvGraphicFramePr/>
            <a:graphic>
              <a:graphicData uri="http://schemas.openxmlformats.org/drawingml/2006/picture">
                <pic:pic>
                  <pic:nvPicPr>
                    <pic:cNvPr id="692" name="IM 692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6878" cy="735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6"/>
        </w:rPr>
        <w:drawing>
          <wp:inline distT="0" distB="0" distL="0" distR="0">
            <wp:extent cx="2474899" cy="1467737"/>
            <wp:effectExtent l="0" t="0" r="0" b="0"/>
            <wp:docPr id="694" name="IM 694"/>
            <wp:cNvGraphicFramePr/>
            <a:graphic>
              <a:graphicData uri="http://schemas.openxmlformats.org/drawingml/2006/picture">
                <pic:pic>
                  <pic:nvPicPr>
                    <pic:cNvPr id="694" name="IM 694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4899" cy="146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336"/>
        <w:spacing w:before="166" w:line="17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图4    整体资产质量风险敏感性压力测试下的</w:t>
      </w:r>
    </w:p>
    <w:p>
      <w:pPr>
        <w:pStyle w:val="BodyText"/>
        <w:ind w:left="1638"/>
        <w:spacing w:before="67" w:line="174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资本充足率</w:t>
      </w:r>
    </w:p>
    <w:p>
      <w:pPr>
        <w:pStyle w:val="BodyText"/>
        <w:ind w:left="194"/>
        <w:spacing w:before="58" w:line="195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4"/>
        </w:rPr>
        <w:t>（不良资产率上升</w:t>
      </w:r>
      <w:r>
        <w:rPr>
          <w:sz w:val="18"/>
          <w:szCs w:val="18"/>
          <w:color w:val="231F20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4"/>
        </w:rPr>
        <w:t>100%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5"/>
        </w:rPr>
        <w:t xml:space="preserve"> </w:t>
      </w:r>
      <w:r>
        <w:rPr>
          <w:sz w:val="18"/>
          <w:szCs w:val="18"/>
          <w:color w:val="231F20"/>
          <w:spacing w:val="-4"/>
        </w:rPr>
        <w:t>、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4"/>
        </w:rPr>
        <w:t>200%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6"/>
        </w:rPr>
        <w:t xml:space="preserve"> </w:t>
      </w:r>
      <w:r>
        <w:rPr>
          <w:sz w:val="18"/>
          <w:szCs w:val="18"/>
          <w:color w:val="231F20"/>
          <w:spacing w:val="-4"/>
        </w:rPr>
        <w:t>、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4"/>
        </w:rPr>
        <w:t>400%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3"/>
        </w:rPr>
        <w:t xml:space="preserve"> </w:t>
      </w:r>
      <w:r>
        <w:rPr>
          <w:sz w:val="18"/>
          <w:szCs w:val="18"/>
          <w:color w:val="231F20"/>
          <w:spacing w:val="-4"/>
        </w:rPr>
        <w:t>，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4"/>
        </w:rPr>
        <w:t>50%</w:t>
      </w:r>
      <w:r>
        <w:rPr>
          <w:sz w:val="18"/>
          <w:szCs w:val="18"/>
          <w:color w:val="231F20"/>
          <w:spacing w:val="-4"/>
        </w:rPr>
        <w:t>、</w:t>
      </w:r>
    </w:p>
    <w:p>
      <w:pPr>
        <w:pStyle w:val="BodyText"/>
        <w:ind w:left="808"/>
        <w:spacing w:before="19" w:line="196" w:lineRule="auto"/>
        <w:rPr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3"/>
        </w:rPr>
        <w:t>100%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0"/>
        </w:rPr>
        <w:t xml:space="preserve"> </w:t>
      </w:r>
      <w:r>
        <w:rPr>
          <w:sz w:val="18"/>
          <w:szCs w:val="18"/>
          <w:color w:val="231F20"/>
          <w:spacing w:val="-3"/>
        </w:rPr>
        <w:t>的关注类资产转移至不良）</w:t>
      </w:r>
    </w:p>
    <w:p>
      <w:pPr>
        <w:pStyle w:val="BodyText"/>
        <w:ind w:firstLine="426"/>
        <w:spacing w:before="424" w:line="249" w:lineRule="auto"/>
        <w:jc w:val="both"/>
        <w:rPr/>
      </w:pPr>
      <w:r>
        <w:rPr>
          <w:color w:val="231F20"/>
          <w:spacing w:val="9"/>
        </w:rPr>
        <w:t>客户集中度风险、中小微企业及个人非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住房贷款等领域风险值得关注。 在最大</w:t>
      </w:r>
      <w:r>
        <w:rPr>
          <w:rFonts w:ascii="Times New Roman" w:hAnsi="Times New Roman" w:eastAsia="Times New Roman" w:cs="Times New Roman"/>
          <w:color w:val="231F20"/>
        </w:rPr>
        <w:t>5</w:t>
      </w:r>
      <w:r>
        <w:rPr>
          <w:color w:val="231F20"/>
        </w:rPr>
        <w:t>家非</w:t>
      </w:r>
      <w:r>
        <w:rPr>
          <w:color w:val="231F20"/>
          <w:spacing w:val="17"/>
          <w:w w:val="102"/>
        </w:rPr>
        <w:t xml:space="preserve"> </w:t>
      </w:r>
      <w:r>
        <w:rPr>
          <w:color w:val="231F20"/>
          <w:spacing w:val="9"/>
        </w:rPr>
        <w:t>同业集团及经济依存客户违约的情景下，全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部参试银行整体资本充足率降至</w:t>
      </w:r>
      <w:r>
        <w:rPr>
          <w:rFonts w:ascii="Times New Roman" w:hAnsi="Times New Roman" w:eastAsia="Times New Roman" w:cs="Times New Roman"/>
          <w:color w:val="231F20"/>
          <w:spacing w:val="6"/>
        </w:rPr>
        <w:t>11.94%</w:t>
      </w:r>
      <w:r>
        <w:rPr>
          <w:color w:val="231F20"/>
          <w:spacing w:val="6"/>
        </w:rPr>
        <w:t>，下</w:t>
      </w:r>
      <w:r>
        <w:rPr>
          <w:color w:val="231F20"/>
          <w:spacing w:val="14"/>
          <w:w w:val="101"/>
        </w:rPr>
        <w:t xml:space="preserve"> </w:t>
      </w:r>
      <w:r>
        <w:rPr>
          <w:color w:val="231F20"/>
          <w:spacing w:val="10"/>
        </w:rPr>
        <w:t>降</w:t>
      </w:r>
      <w:r>
        <w:rPr>
          <w:rFonts w:ascii="Times New Roman" w:hAnsi="Times New Roman" w:eastAsia="Times New Roman" w:cs="Times New Roman"/>
          <w:color w:val="231F20"/>
          <w:spacing w:val="10"/>
        </w:rPr>
        <w:t>3.82</w:t>
      </w:r>
      <w:r>
        <w:rPr>
          <w:color w:val="231F20"/>
          <w:spacing w:val="10"/>
        </w:rPr>
        <w:t>个百分点。在中小微企业及个人非住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4"/>
        </w:rPr>
        <w:t>房不良贷款率上升</w:t>
      </w:r>
      <w:r>
        <w:rPr>
          <w:rFonts w:ascii="Times New Roman" w:hAnsi="Times New Roman" w:eastAsia="Times New Roman" w:cs="Times New Roman"/>
          <w:color w:val="231F20"/>
          <w:spacing w:val="4"/>
        </w:rPr>
        <w:t>400%</w:t>
      </w:r>
      <w:r>
        <w:rPr>
          <w:color w:val="231F20"/>
          <w:spacing w:val="4"/>
        </w:rPr>
        <w:t>的情景下，参试银行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8"/>
        </w:rPr>
        <w:t>整体资本充足率降至</w:t>
      </w:r>
      <w:r>
        <w:rPr>
          <w:rFonts w:ascii="Times New Roman" w:hAnsi="Times New Roman" w:eastAsia="Times New Roman" w:cs="Times New Roman"/>
          <w:color w:val="231F20"/>
          <w:spacing w:val="8"/>
        </w:rPr>
        <w:t>12.47%</w:t>
      </w:r>
      <w:r>
        <w:rPr>
          <w:color w:val="231F20"/>
          <w:spacing w:val="8"/>
        </w:rPr>
        <w:t>，下降</w:t>
      </w:r>
      <w:r>
        <w:rPr>
          <w:rFonts w:ascii="Times New Roman" w:hAnsi="Times New Roman" w:eastAsia="Times New Roman" w:cs="Times New Roman"/>
          <w:color w:val="231F20"/>
          <w:spacing w:val="8"/>
        </w:rPr>
        <w:t>3.29</w:t>
      </w:r>
      <w:r>
        <w:rPr>
          <w:color w:val="231F20"/>
          <w:spacing w:val="8"/>
        </w:rPr>
        <w:t>个百</w:t>
      </w:r>
      <w:r>
        <w:rPr>
          <w:color w:val="231F20"/>
          <w:spacing w:val="13"/>
          <w:w w:val="101"/>
        </w:rPr>
        <w:t xml:space="preserve"> </w:t>
      </w:r>
      <w:r>
        <w:rPr>
          <w:color w:val="231F20"/>
          <w:spacing w:val="-8"/>
        </w:rPr>
        <w:t>分点。</w:t>
      </w:r>
    </w:p>
    <w:p>
      <w:pPr>
        <w:pStyle w:val="BodyText"/>
        <w:ind w:firstLine="422"/>
        <w:spacing w:before="6"/>
        <w:jc w:val="both"/>
        <w:rPr/>
      </w:pPr>
      <w:r>
        <w:rPr>
          <w:color w:val="231F20"/>
          <w:spacing w:val="23"/>
        </w:rPr>
        <w:t>逾展期和重组贷款风险、表外业务信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用风险、同业交易对手信用风险对参试银行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影响相对有限。</w:t>
      </w:r>
      <w:r>
        <w:rPr>
          <w:color w:val="231F20"/>
          <w:spacing w:val="27"/>
          <w:w w:val="101"/>
        </w:rPr>
        <w:t xml:space="preserve"> </w:t>
      </w:r>
      <w:r>
        <w:rPr>
          <w:color w:val="231F20"/>
          <w:spacing w:val="5"/>
        </w:rPr>
        <w:t>若展期贷款全部转入不良贷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款，参试银行整体资本充足率降至</w:t>
      </w:r>
      <w:r>
        <w:rPr>
          <w:rFonts w:ascii="Times New Roman" w:hAnsi="Times New Roman" w:eastAsia="Times New Roman" w:cs="Times New Roman"/>
          <w:color w:val="231F20"/>
          <w:spacing w:val="7"/>
        </w:rPr>
        <w:t>14.93</w:t>
      </w:r>
      <w:r>
        <w:rPr>
          <w:rFonts w:ascii="Times New Roman" w:hAnsi="Times New Roman" w:eastAsia="Times New Roman" w:cs="Times New Roman"/>
          <w:color w:val="231F20"/>
          <w:spacing w:val="6"/>
        </w:rPr>
        <w:t>%</w:t>
      </w:r>
      <w:r>
        <w:rPr>
          <w:color w:val="231F20"/>
          <w:spacing w:val="6"/>
        </w:rPr>
        <w:t>，</w:t>
      </w:r>
      <w:r>
        <w:rPr>
          <w:color w:val="231F20"/>
        </w:rPr>
        <w:t xml:space="preserve"> </w:t>
      </w:r>
      <w:r>
        <w:rPr>
          <w:color w:val="231F20"/>
          <w:spacing w:val="11"/>
        </w:rPr>
        <w:t>下降</w:t>
      </w:r>
      <w:r>
        <w:rPr>
          <w:rFonts w:ascii="Times New Roman" w:hAnsi="Times New Roman" w:eastAsia="Times New Roman" w:cs="Times New Roman"/>
          <w:color w:val="231F20"/>
          <w:spacing w:val="11"/>
        </w:rPr>
        <w:t>0.83</w:t>
      </w:r>
      <w:r>
        <w:rPr>
          <w:color w:val="231F20"/>
          <w:spacing w:val="11"/>
        </w:rPr>
        <w:t>个百分点。若</w:t>
      </w:r>
      <w:r>
        <w:rPr>
          <w:rFonts w:ascii="Times New Roman" w:hAnsi="Times New Roman" w:eastAsia="Times New Roman" w:cs="Times New Roman"/>
          <w:color w:val="231F20"/>
          <w:spacing w:val="11"/>
        </w:rPr>
        <w:t>50%</w:t>
      </w:r>
      <w:r>
        <w:rPr>
          <w:color w:val="231F20"/>
          <w:spacing w:val="11"/>
        </w:rPr>
        <w:t>的表外业务敞口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21"/>
        </w:rPr>
        <w:t>发生垫款，参试银行整体资本充足率降至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14.25%</w:t>
      </w:r>
      <w:r>
        <w:rPr>
          <w:color w:val="231F20"/>
          <w:spacing w:val="4"/>
        </w:rPr>
        <w:t>，下降</w:t>
      </w:r>
      <w:r>
        <w:rPr>
          <w:rFonts w:ascii="Times New Roman" w:hAnsi="Times New Roman" w:eastAsia="Times New Roman" w:cs="Times New Roman"/>
          <w:color w:val="231F20"/>
          <w:spacing w:val="4"/>
        </w:rPr>
        <w:t>1.51</w:t>
      </w:r>
      <w:r>
        <w:rPr>
          <w:color w:val="231F20"/>
          <w:spacing w:val="4"/>
        </w:rPr>
        <w:t>个百分点。若最大</w:t>
      </w:r>
      <w:r>
        <w:rPr>
          <w:rFonts w:ascii="Times New Roman" w:hAnsi="Times New Roman" w:eastAsia="Times New Roman" w:cs="Times New Roman"/>
          <w:color w:val="231F20"/>
          <w:spacing w:val="4"/>
        </w:rPr>
        <w:t>5</w:t>
      </w:r>
      <w:r>
        <w:rPr>
          <w:color w:val="231F20"/>
          <w:spacing w:val="4"/>
        </w:rPr>
        <w:t>家同业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交易对手违约，参试银行整体资本充足率降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至</w:t>
      </w:r>
      <w:r>
        <w:rPr>
          <w:rFonts w:ascii="Times New Roman" w:hAnsi="Times New Roman" w:eastAsia="Times New Roman" w:cs="Times New Roman"/>
          <w:color w:val="231F20"/>
          <w:spacing w:val="-1"/>
        </w:rPr>
        <w:t>14.06%</w:t>
      </w:r>
      <w:r>
        <w:rPr>
          <w:color w:val="231F20"/>
          <w:spacing w:val="-1"/>
        </w:rPr>
        <w:t>，下降</w:t>
      </w:r>
      <w:r>
        <w:rPr>
          <w:rFonts w:ascii="Times New Roman" w:hAnsi="Times New Roman" w:eastAsia="Times New Roman" w:cs="Times New Roman"/>
          <w:color w:val="231F20"/>
          <w:spacing w:val="-1"/>
        </w:rPr>
        <w:t>1.69</w:t>
      </w:r>
      <w:r>
        <w:rPr>
          <w:color w:val="231F20"/>
          <w:spacing w:val="-1"/>
        </w:rPr>
        <w:t>个百分点（见图</w:t>
      </w:r>
      <w:r>
        <w:rPr>
          <w:rFonts w:ascii="Times New Roman" w:hAnsi="Times New Roman" w:eastAsia="Times New Roman" w:cs="Times New Roman"/>
          <w:color w:val="231F20"/>
          <w:spacing w:val="-1"/>
        </w:rPr>
        <w:t>5</w:t>
      </w:r>
      <w:r>
        <w:rPr>
          <w:color w:val="231F20"/>
          <w:spacing w:val="-1"/>
        </w:rPr>
        <w:t>）。</w:t>
      </w:r>
    </w:p>
    <w:p>
      <w:pPr>
        <w:sectPr>
          <w:type w:val="continuous"/>
          <w:pgSz w:w="11906" w:h="16158"/>
          <w:pgMar w:top="1367" w:right="1699" w:bottom="400" w:left="1361" w:header="1044" w:footer="0" w:gutter="0"/>
          <w:cols w:equalWidth="0" w:num="2">
            <w:col w:w="4582" w:space="100"/>
            <w:col w:w="4163" w:space="0"/>
          </w:cols>
        </w:sectPr>
        <w:rPr/>
      </w:pPr>
    </w:p>
    <w:p>
      <w:pPr>
        <w:spacing w:before="153"/>
        <w:rPr/>
      </w:pPr>
      <w:r/>
    </w:p>
    <w:p>
      <w:pPr>
        <w:sectPr>
          <w:headerReference w:type="default" r:id="rId354"/>
          <w:pgSz w:w="11906" w:h="16158"/>
          <w:pgMar w:top="1385" w:right="1415" w:bottom="400" w:left="1702" w:header="1062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308" w:right="3114" w:hanging="10"/>
        <w:spacing w:before="92" w:line="172" w:lineRule="auto"/>
        <w:tabs>
          <w:tab w:val="left" w:pos="440"/>
        </w:tabs>
        <w:jc w:val="right"/>
        <w:rPr>
          <w:sz w:val="13"/>
          <w:szCs w:val="13"/>
        </w:rPr>
      </w:pPr>
      <w:r>
        <w:pict>
          <v:shape id="_x0000_s190" style="position:absolute;margin-left:140.036pt;margin-top:4.69556pt;mso-position-vertical-relative:text;mso-position-horizontal-relative:text;width:22.35pt;height:6.95pt;z-index:252507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7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6"/>
                    </w:rPr>
                    <w:t>10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6"/>
                    </w:rPr>
                    <w:t>.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7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6"/>
                    </w:rPr>
                    <w:t>54%</w:t>
                  </w:r>
                </w:p>
              </w:txbxContent>
            </v:textbox>
          </v:shape>
        </w:pict>
      </w:r>
      <w:r>
        <w:pict>
          <v:shape id="_x0000_s192" style="position:absolute;margin-left:149.335pt;margin-top:16.3209pt;mso-position-vertical-relative:text;mso-position-horizontal-relative:text;width:23.45pt;height:18.15pt;z-index:2525061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3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"/>
                    </w:rPr>
                    <w:t>1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"/>
                    </w:rPr>
                    <w:t>1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"/>
                    </w:rPr>
                    <w:t>.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6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"/>
                    </w:rPr>
                    <w:t>94%</w:t>
                  </w:r>
                </w:p>
                <w:p>
                  <w:pPr>
                    <w:ind w:left="41"/>
                    <w:spacing w:before="127" w:line="201" w:lineRule="auto"/>
                    <w:rPr>
                      <w:rFonts w:ascii="DejaVu Sans" w:hAnsi="DejaVu Sans" w:eastAsia="DejaVu Sans" w:cs="DejaVu Sans"/>
                      <w:sz w:val="10"/>
                      <w:szCs w:val="10"/>
                    </w:rPr>
                  </w:pPr>
                  <w:r>
                    <w:rPr>
                      <w:rFonts w:ascii="DejaVu Sans" w:hAnsi="DejaVu Sans" w:eastAsia="DejaVu Sans" w:cs="DejaVu Sans"/>
                      <w:sz w:val="10"/>
                      <w:szCs w:val="10"/>
                      <w:color w:val="231F20"/>
                      <w:spacing w:val="4"/>
                    </w:rPr>
                    <w:t>12.47%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503040" behindDoc="0" locked="0" layoutInCell="1" allowOverlap="1">
            <wp:simplePos x="0" y="0"/>
            <wp:positionH relativeFrom="column">
              <wp:posOffset>928310</wp:posOffset>
            </wp:positionH>
            <wp:positionV relativeFrom="paragraph">
              <wp:posOffset>25920</wp:posOffset>
            </wp:positionV>
            <wp:extent cx="1572602" cy="1037115"/>
            <wp:effectExtent l="0" t="0" r="0" b="0"/>
            <wp:wrapNone/>
            <wp:docPr id="696" name="IM 696"/>
            <wp:cNvGraphicFramePr/>
            <a:graphic>
              <a:graphicData uri="http://schemas.openxmlformats.org/drawingml/2006/picture">
                <pic:pic>
                  <pic:nvPicPr>
                    <pic:cNvPr id="696" name="IM 696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72602" cy="103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504064" behindDoc="0" locked="0" layoutInCell="1" allowOverlap="1">
            <wp:simplePos x="0" y="0"/>
            <wp:positionH relativeFrom="column">
              <wp:posOffset>928310</wp:posOffset>
            </wp:positionH>
            <wp:positionV relativeFrom="paragraph">
              <wp:posOffset>29089</wp:posOffset>
            </wp:positionV>
            <wp:extent cx="1569427" cy="1033945"/>
            <wp:effectExtent l="0" t="0" r="0" b="0"/>
            <wp:wrapNone/>
            <wp:docPr id="698" name="IM 698"/>
            <wp:cNvGraphicFramePr/>
            <a:graphic>
              <a:graphicData uri="http://schemas.openxmlformats.org/drawingml/2006/picture">
                <pic:pic>
                  <pic:nvPicPr>
                    <pic:cNvPr id="698" name="IM 698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9427" cy="103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  <w:szCs w:val="13"/>
          <w:color w:val="231F20"/>
          <w:spacing w:val="8"/>
        </w:rPr>
        <w:t>整体资产质量风险</w:t>
      </w:r>
      <w:r>
        <w:rPr>
          <w:sz w:val="13"/>
          <w:szCs w:val="13"/>
          <w:color w:val="231F20"/>
          <w:spacing w:val="5"/>
        </w:rPr>
        <w:t xml:space="preserve"> </w:t>
      </w:r>
      <w:r>
        <w:rPr>
          <w:sz w:val="13"/>
          <w:szCs w:val="13"/>
          <w:color w:val="231F20"/>
        </w:rPr>
        <w:tab/>
      </w:r>
      <w:r>
        <w:rPr>
          <w:sz w:val="13"/>
          <w:szCs w:val="13"/>
          <w:color w:val="231F20"/>
          <w:spacing w:val="8"/>
        </w:rPr>
        <w:t>客户集中度风险</w:t>
      </w:r>
      <w:r>
        <w:rPr>
          <w:sz w:val="13"/>
          <w:szCs w:val="13"/>
          <w:color w:val="231F20"/>
          <w:spacing w:val="2"/>
        </w:rPr>
        <w:t xml:space="preserve"> </w:t>
      </w:r>
      <w:r>
        <w:rPr>
          <w:sz w:val="13"/>
          <w:szCs w:val="13"/>
          <w:color w:val="231F20"/>
          <w:spacing w:val="7"/>
        </w:rPr>
        <w:t>中小微企业及个人</w:t>
      </w:r>
    </w:p>
    <w:p>
      <w:pPr>
        <w:pStyle w:val="BodyText"/>
        <w:ind w:left="30" w:right="3114" w:firstLine="405"/>
        <w:spacing w:line="153" w:lineRule="exact"/>
        <w:jc w:val="right"/>
        <w:rPr>
          <w:sz w:val="13"/>
          <w:szCs w:val="13"/>
        </w:rPr>
      </w:pPr>
      <w:r>
        <w:pict>
          <v:shape id="_x0000_s194" style="position:absolute;margin-left:162.754pt;margin-top:7.71869pt;mso-position-vertical-relative:text;mso-position-horizontal-relative:text;width:23.55pt;height:18.1pt;z-index:2525050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6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8"/>
                    </w:rPr>
                    <w:t>14.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8"/>
                    </w:rPr>
                    <w:t>06%</w:t>
                  </w:r>
                </w:p>
                <w:p>
                  <w:pPr>
                    <w:ind w:left="43"/>
                    <w:spacing w:before="123" w:line="227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8"/>
                    </w:rPr>
                    <w:t>14.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8"/>
                    </w:rPr>
                    <w:t>25%</w:t>
                  </w:r>
                </w:p>
              </w:txbxContent>
            </v:textbox>
          </v:shape>
        </w:pict>
      </w:r>
      <w:r>
        <w:rPr>
          <w:sz w:val="13"/>
          <w:szCs w:val="13"/>
          <w:color w:val="231E20"/>
          <w:spacing w:val="8"/>
        </w:rPr>
        <w:t>非住房贷款风险</w:t>
      </w:r>
      <w:r>
        <w:rPr>
          <w:sz w:val="13"/>
          <w:szCs w:val="13"/>
          <w:color w:val="231E20"/>
          <w:spacing w:val="4"/>
        </w:rPr>
        <w:t xml:space="preserve"> </w:t>
      </w:r>
      <w:r>
        <w:rPr>
          <w:sz w:val="13"/>
          <w:szCs w:val="13"/>
          <w:color w:val="231F20"/>
          <w:spacing w:val="7"/>
        </w:rPr>
        <w:t>同业交易对手信用风险</w:t>
      </w:r>
    </w:p>
    <w:p>
      <w:pPr>
        <w:pStyle w:val="BodyText"/>
        <w:ind w:left="15" w:right="3114" w:firstLine="282"/>
        <w:spacing w:before="70" w:line="222" w:lineRule="auto"/>
        <w:jc w:val="right"/>
        <w:rPr>
          <w:sz w:val="13"/>
          <w:szCs w:val="13"/>
        </w:rPr>
      </w:pPr>
      <w:r>
        <w:pict>
          <v:shape id="_x0000_s196" style="position:absolute;margin-left:168.286pt;margin-top:15.8193pt;mso-position-vertical-relative:text;mso-position-horizontal-relative:text;width:22.35pt;height:6.9pt;z-index:2525091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3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8"/>
                    </w:rPr>
                    <w:t>14.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8"/>
                    </w:rPr>
                    <w:t>93%</w:t>
                  </w:r>
                </w:p>
              </w:txbxContent>
            </v:textbox>
          </v:shape>
        </w:pict>
      </w:r>
      <w:r>
        <w:rPr>
          <w:sz w:val="13"/>
          <w:szCs w:val="13"/>
          <w:color w:val="231F20"/>
          <w:spacing w:val="8"/>
        </w:rPr>
        <w:t>表外业务信用风险</w:t>
      </w:r>
      <w:r>
        <w:rPr>
          <w:sz w:val="13"/>
          <w:szCs w:val="13"/>
          <w:color w:val="231F20"/>
          <w:spacing w:val="5"/>
        </w:rPr>
        <w:t xml:space="preserve"> </w:t>
      </w:r>
      <w:r>
        <w:rPr>
          <w:sz w:val="13"/>
          <w:szCs w:val="13"/>
          <w:color w:val="231F20"/>
          <w:spacing w:val="6"/>
        </w:rPr>
        <w:t>逾展期</w:t>
      </w:r>
      <w:r>
        <w:rPr>
          <w:sz w:val="13"/>
          <w:szCs w:val="13"/>
          <w:color w:val="231F20"/>
          <w:spacing w:val="3"/>
        </w:rPr>
        <w:t xml:space="preserve"> </w:t>
      </w:r>
      <w:r>
        <w:rPr>
          <w:sz w:val="13"/>
          <w:szCs w:val="13"/>
          <w:color w:val="231F20"/>
          <w:spacing w:val="6"/>
        </w:rPr>
        <w:t>、重组贷款风险</w:t>
      </w:r>
    </w:p>
    <w:p>
      <w:pPr>
        <w:pStyle w:val="BodyText"/>
        <w:ind w:left="1004"/>
        <w:spacing w:before="5" w:line="133" w:lineRule="exact"/>
        <w:rPr>
          <w:sz w:val="13"/>
          <w:szCs w:val="13"/>
        </w:rPr>
      </w:pPr>
      <w:r>
        <w:pict>
          <v:shape id="_x0000_s198" style="position:absolute;margin-left:172.642pt;margin-top:0.290894pt;mso-position-vertical-relative:text;mso-position-horizontal-relative:text;width:22.35pt;height:6.95pt;z-index:25250816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27" w:lineRule="auto"/>
                    <w:rPr>
                      <w:rFonts w:ascii="DejaVu Sans" w:hAnsi="DejaVu Sans" w:eastAsia="DejaVu Sans" w:cs="DejaVu Sans"/>
                      <w:sz w:val="9"/>
                      <w:szCs w:val="9"/>
                    </w:rPr>
                  </w:pP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E20"/>
                      <w:spacing w:val="8"/>
                    </w:rPr>
                    <w:t>15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E20"/>
                      <w:spacing w:val="-14"/>
                    </w:rPr>
                    <w:t xml:space="preserve"> 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F20"/>
                      <w:spacing w:val="8"/>
                    </w:rPr>
                    <w:t>.</w:t>
                  </w:r>
                  <w:r>
                    <w:rPr>
                      <w:rFonts w:ascii="DejaVu Sans" w:hAnsi="DejaVu Sans" w:eastAsia="DejaVu Sans" w:cs="DejaVu Sans"/>
                      <w:sz w:val="9"/>
                      <w:szCs w:val="9"/>
                      <w:color w:val="231E20"/>
                      <w:spacing w:val="8"/>
                    </w:rPr>
                    <w:t>76%</w:t>
                  </w:r>
                </w:p>
              </w:txbxContent>
            </v:textbox>
          </v:shape>
        </w:pict>
      </w:r>
      <w:r>
        <w:rPr>
          <w:sz w:val="13"/>
          <w:szCs w:val="13"/>
          <w:color w:val="231F20"/>
          <w:spacing w:val="5"/>
          <w:position w:val="-1"/>
        </w:rPr>
        <w:t>冲击前</w:t>
      </w:r>
    </w:p>
    <w:p>
      <w:pPr>
        <w:ind w:left="1430"/>
        <w:spacing w:before="110" w:line="227" w:lineRule="auto"/>
        <w:rPr>
          <w:rFonts w:ascii="DejaVu Sans" w:hAnsi="DejaVu Sans" w:eastAsia="DejaVu Sans" w:cs="DejaVu Sans"/>
          <w:sz w:val="9"/>
          <w:szCs w:val="9"/>
        </w:rPr>
      </w:pPr>
      <w:r>
        <w:rPr>
          <w:rFonts w:ascii="DejaVu Sans" w:hAnsi="DejaVu Sans" w:eastAsia="DejaVu Sans" w:cs="DejaVu Sans"/>
          <w:sz w:val="9"/>
          <w:szCs w:val="9"/>
          <w:color w:val="231F20"/>
          <w:spacing w:val="7"/>
        </w:rPr>
        <w:t>0</w:t>
      </w:r>
      <w:r>
        <w:rPr>
          <w:rFonts w:ascii="DejaVu Sans" w:hAnsi="DejaVu Sans" w:eastAsia="DejaVu Sans" w:cs="DejaVu Sans"/>
          <w:sz w:val="9"/>
          <w:szCs w:val="9"/>
          <w:color w:val="231F20"/>
        </w:rPr>
        <w:t xml:space="preserve">                  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7"/>
        </w:rPr>
        <w:t>5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1"/>
        </w:rPr>
        <w:t xml:space="preserve">                 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7"/>
        </w:rPr>
        <w:t>10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7"/>
        </w:rPr>
        <w:t xml:space="preserve">              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6"/>
        </w:rPr>
        <w:t>15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1"/>
        </w:rPr>
        <w:t xml:space="preserve">                 </w:t>
      </w:r>
      <w:r>
        <w:rPr>
          <w:rFonts w:ascii="DejaVu Sans" w:hAnsi="DejaVu Sans" w:eastAsia="DejaVu Sans" w:cs="DejaVu Sans"/>
          <w:sz w:val="9"/>
          <w:szCs w:val="9"/>
          <w:color w:val="231F20"/>
          <w:spacing w:val="6"/>
        </w:rPr>
        <w:t>20%</w:t>
      </w:r>
    </w:p>
    <w:p>
      <w:pPr>
        <w:pStyle w:val="BodyText"/>
        <w:ind w:left="160"/>
        <w:spacing w:before="166" w:line="174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图5    各领域敏感性压力测试下的整体资本充足率</w:t>
      </w:r>
    </w:p>
    <w:p>
      <w:pPr>
        <w:pStyle w:val="BodyText"/>
        <w:ind w:left="633"/>
        <w:spacing w:before="71" w:line="171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（各领域测试结果均取最严重冲击）</w:t>
      </w:r>
    </w:p>
    <w:p>
      <w:pPr>
        <w:pStyle w:val="BodyText"/>
        <w:ind w:left="484"/>
        <w:spacing w:before="532" w:line="175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2"/>
        </w:rPr>
        <w:t>三、流动性风险压力测试结果</w:t>
      </w:r>
    </w:p>
    <w:p>
      <w:pPr>
        <w:pStyle w:val="BodyText"/>
        <w:ind w:right="356" w:firstLine="429"/>
        <w:spacing w:before="426" w:line="247" w:lineRule="auto"/>
        <w:jc w:val="both"/>
        <w:rPr/>
      </w:pPr>
      <w:r>
        <w:rPr>
          <w:color w:val="231F20"/>
          <w:spacing w:val="1"/>
        </w:rPr>
        <w:t>参试银行流动性承压能力整体较强。   流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3"/>
        </w:rPr>
        <w:t>动性风险压力测试考察未来</w:t>
      </w:r>
      <w:r>
        <w:rPr>
          <w:rFonts w:ascii="Times New Roman" w:hAnsi="Times New Roman" w:eastAsia="Times New Roman" w:cs="Times New Roman"/>
          <w:color w:val="231F20"/>
          <w:spacing w:val="3"/>
        </w:rPr>
        <w:t>7</w:t>
      </w:r>
      <w:r>
        <w:rPr>
          <w:color w:val="231F20"/>
          <w:spacing w:val="3"/>
        </w:rPr>
        <w:t>天、</w:t>
      </w:r>
      <w:r>
        <w:rPr>
          <w:rFonts w:ascii="Times New Roman" w:hAnsi="Times New Roman" w:eastAsia="Times New Roman" w:cs="Times New Roman"/>
          <w:color w:val="231F20"/>
          <w:spacing w:val="3"/>
        </w:rPr>
        <w:t>30</w:t>
      </w:r>
      <w:r>
        <w:rPr>
          <w:color w:val="231F20"/>
          <w:spacing w:val="3"/>
        </w:rPr>
        <w:t>天和</w:t>
      </w:r>
      <w:r>
        <w:rPr>
          <w:rFonts w:ascii="Times New Roman" w:hAnsi="Times New Roman" w:eastAsia="Times New Roman" w:cs="Times New Roman"/>
          <w:color w:val="231F20"/>
          <w:spacing w:val="3"/>
        </w:rPr>
        <w:t>90</w:t>
      </w:r>
      <w:r>
        <w:rPr>
          <w:color w:val="231F20"/>
          <w:spacing w:val="3"/>
        </w:rPr>
        <w:t>天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三个时间窗口下，压力因素对银行资产负债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现金流缺口的影响。测试结果显示，参试银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4"/>
        </w:rPr>
        <w:t>行流动性整体充裕，</w:t>
      </w:r>
      <w:r>
        <w:rPr>
          <w:color w:val="231F20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4"/>
        </w:rPr>
        <w:t>3235</w:t>
      </w:r>
      <w:r>
        <w:rPr>
          <w:color w:val="231F20"/>
          <w:spacing w:val="4"/>
        </w:rPr>
        <w:t>家参试银行中，轻</w:t>
      </w:r>
      <w:r>
        <w:rPr>
          <w:color w:val="231F20"/>
        </w:rPr>
        <w:t xml:space="preserve"> </w:t>
      </w:r>
      <w:r>
        <w:rPr>
          <w:color w:val="231F20"/>
          <w:spacing w:val="6"/>
        </w:rPr>
        <w:t>度压力情景通过率为</w:t>
      </w:r>
      <w:r>
        <w:rPr>
          <w:rFonts w:ascii="Times New Roman" w:hAnsi="Times New Roman" w:eastAsia="Times New Roman" w:cs="Times New Roman"/>
          <w:color w:val="231F20"/>
          <w:spacing w:val="6"/>
        </w:rPr>
        <w:t>98.49%</w:t>
      </w:r>
      <w:r>
        <w:rPr>
          <w:color w:val="231F20"/>
          <w:spacing w:val="6"/>
        </w:rPr>
        <w:t>；重度压力情景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4"/>
        </w:rPr>
        <w:t>通过率为</w:t>
      </w:r>
      <w:r>
        <w:rPr>
          <w:rFonts w:ascii="Times New Roman" w:hAnsi="Times New Roman" w:eastAsia="Times New Roman" w:cs="Times New Roman"/>
          <w:color w:val="231F20"/>
          <w:spacing w:val="4"/>
        </w:rPr>
        <w:t>96.29%</w:t>
      </w:r>
      <w:r>
        <w:rPr>
          <w:color w:val="231F20"/>
          <w:spacing w:val="4"/>
        </w:rPr>
        <w:t>，较</w:t>
      </w:r>
      <w:r>
        <w:rPr>
          <w:rFonts w:ascii="Times New Roman" w:hAnsi="Times New Roman" w:eastAsia="Times New Roman" w:cs="Times New Roman"/>
          <w:color w:val="231F20"/>
          <w:spacing w:val="4"/>
        </w:rPr>
        <w:t>2023</w:t>
      </w:r>
      <w:r>
        <w:rPr>
          <w:color w:val="231F20"/>
          <w:spacing w:val="4"/>
        </w:rPr>
        <w:t>年有所上升。 </w:t>
      </w:r>
      <w:r>
        <w:rPr>
          <w:rFonts w:ascii="Times New Roman" w:hAnsi="Times New Roman" w:eastAsia="Times New Roman" w:cs="Times New Roman"/>
          <w:color w:val="231F20"/>
          <w:spacing w:val="4"/>
        </w:rPr>
        <w:t>20</w:t>
      </w:r>
      <w:r>
        <w:rPr>
          <w:color w:val="231F20"/>
          <w:spacing w:val="4"/>
        </w:rPr>
        <w:t>家</w:t>
      </w:r>
      <w:r>
        <w:rPr>
          <w:color w:val="231F20"/>
          <w:spacing w:val="7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9"/>
        </w:rPr>
        <w:t>D</w:t>
      </w:r>
      <w:r>
        <w:rPr>
          <w:color w:val="231F20"/>
          <w:spacing w:val="9"/>
        </w:rPr>
        <w:t>-</w:t>
      </w:r>
      <w:r>
        <w:rPr>
          <w:rFonts w:ascii="Times New Roman" w:hAnsi="Times New Roman" w:eastAsia="Times New Roman" w:cs="Times New Roman"/>
          <w:color w:val="231F20"/>
        </w:rPr>
        <w:t>SIBs</w:t>
      </w:r>
      <w:r>
        <w:rPr>
          <w:color w:val="231F20"/>
          <w:spacing w:val="9"/>
        </w:rPr>
        <w:t>在轻度压力情景下全部通过，在重度 </w:t>
      </w:r>
      <w:r>
        <w:rPr>
          <w:color w:val="231F20"/>
          <w:spacing w:val="-3"/>
        </w:rPr>
        <w:t>压力情景下有</w:t>
      </w:r>
      <w:r>
        <w:rPr>
          <w:rFonts w:ascii="Times New Roman" w:hAnsi="Times New Roman" w:eastAsia="Times New Roman" w:cs="Times New Roman"/>
          <w:color w:val="231F20"/>
          <w:spacing w:val="-3"/>
        </w:rPr>
        <w:t>5</w:t>
      </w:r>
      <w:r>
        <w:rPr>
          <w:color w:val="231F20"/>
          <w:spacing w:val="-3"/>
        </w:rPr>
        <w:t>家未通过。</w:t>
      </w:r>
    </w:p>
    <w:p>
      <w:pPr>
        <w:pStyle w:val="BodyText"/>
        <w:ind w:left="3" w:right="357" w:firstLine="422"/>
        <w:spacing w:before="4" w:line="223" w:lineRule="auto"/>
        <w:jc w:val="both"/>
        <w:rPr/>
      </w:pPr>
      <w:r>
        <w:rPr>
          <w:color w:val="231F20"/>
          <w:spacing w:val="19"/>
        </w:rPr>
        <w:t>本次测试对资产规模</w:t>
      </w:r>
      <w:r>
        <w:rPr>
          <w:rFonts w:ascii="Times New Roman" w:hAnsi="Times New Roman" w:eastAsia="Times New Roman" w:cs="Times New Roman"/>
          <w:b/>
          <w:bCs/>
          <w:color w:val="231F20"/>
          <w:spacing w:val="19"/>
        </w:rPr>
        <w:t>2000</w:t>
      </w:r>
      <w:r>
        <w:rPr>
          <w:rFonts w:ascii="Times New Roman" w:hAnsi="Times New Roman" w:eastAsia="Times New Roman" w:cs="Times New Roman"/>
          <w:b/>
          <w:bCs/>
          <w:color w:val="231F20"/>
          <w:spacing w:val="-17"/>
        </w:rPr>
        <w:t xml:space="preserve"> </w:t>
      </w:r>
      <w:r>
        <w:rPr>
          <w:color w:val="231F20"/>
          <w:spacing w:val="19"/>
        </w:rPr>
        <w:t>亿元以上的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31F20"/>
          <w:spacing w:val="3"/>
        </w:rPr>
        <w:t>129</w:t>
      </w:r>
      <w:r>
        <w:rPr>
          <w:color w:val="231F20"/>
          <w:spacing w:val="3"/>
        </w:rPr>
        <w:t>家银行在压力冲击下的流动性覆盖率指标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进行了分析，结果显示参试银行整体对短期</w:t>
      </w:r>
      <w:r>
        <w:rPr>
          <w:color w:val="231F20"/>
        </w:rPr>
        <w:t xml:space="preserve"> </w:t>
      </w:r>
      <w:r>
        <w:rPr>
          <w:color w:val="231F20"/>
          <w:spacing w:val="5"/>
        </w:rPr>
        <w:t>流动性冲击具有一定抵御能力。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5"/>
        </w:rPr>
        <w:t>未遭受冲击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3"/>
        <w:spacing w:before="40" w:line="257" w:lineRule="auto"/>
        <w:rPr/>
      </w:pPr>
      <w:r>
        <w:rPr>
          <w:color w:val="231F20"/>
        </w:rPr>
        <w:t>前，参试银行整体流动性覆盖率为</w:t>
      </w:r>
      <w:r>
        <w:rPr>
          <w:rFonts w:ascii="Times New Roman" w:hAnsi="Times New Roman" w:eastAsia="Times New Roman" w:cs="Times New Roman"/>
          <w:color w:val="231F20"/>
        </w:rPr>
        <w:t>155.02%</w:t>
      </w:r>
      <w:r>
        <w:rPr>
          <w:rFonts w:ascii="Times New Roman" w:hAnsi="Times New Roman" w:eastAsia="Times New Roman" w:cs="Times New Roman"/>
          <w:color w:val="231F20"/>
          <w:spacing w:val="-8"/>
        </w:rPr>
        <w:t xml:space="preserve"> </w:t>
      </w:r>
      <w:r>
        <w:rPr>
          <w:color w:val="231F20"/>
        </w:rPr>
        <w:t>。 </w:t>
      </w:r>
      <w:r>
        <w:rPr>
          <w:color w:val="231F20"/>
          <w:spacing w:val="9"/>
        </w:rPr>
        <w:t>若零售存款和小企业存款流出率上升，参试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银行整体流动性覆盖率降至</w:t>
      </w:r>
      <w:r>
        <w:rPr>
          <w:rFonts w:ascii="Times New Roman" w:hAnsi="Times New Roman" w:eastAsia="Times New Roman" w:cs="Times New Roman"/>
          <w:color w:val="231F20"/>
          <w:spacing w:val="1"/>
        </w:rPr>
        <w:t>131.41%</w:t>
      </w:r>
      <w:r>
        <w:rPr>
          <w:color w:val="231F20"/>
          <w:spacing w:val="1"/>
        </w:rPr>
        <w:t>。若批发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融资的流出率上升且</w:t>
      </w:r>
      <w:r>
        <w:rPr>
          <w:rFonts w:ascii="Times New Roman" w:hAnsi="Times New Roman" w:eastAsia="Times New Roman" w:cs="Times New Roman"/>
          <w:color w:val="231F20"/>
        </w:rPr>
        <w:t>HQLA</w:t>
      </w:r>
      <w:r>
        <w:rPr>
          <w:color w:val="231F20"/>
        </w:rPr>
        <w:t>的变现能力下降，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参试银行整体流动性覆盖率降至</w:t>
      </w:r>
      <w:r>
        <w:rPr>
          <w:rFonts w:ascii="Times New Roman" w:hAnsi="Times New Roman" w:eastAsia="Times New Roman" w:cs="Times New Roman"/>
          <w:color w:val="231F20"/>
          <w:spacing w:val="-1"/>
        </w:rPr>
        <w:t>113.94%</w:t>
      </w:r>
      <w:r>
        <w:rPr>
          <w:color w:val="231F20"/>
          <w:spacing w:val="-1"/>
        </w:rPr>
        <w:t>。</w:t>
      </w:r>
    </w:p>
    <w:p>
      <w:pPr>
        <w:pStyle w:val="BodyText"/>
        <w:ind w:left="493"/>
        <w:spacing w:before="399" w:line="176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3"/>
        </w:rPr>
        <w:t>四、传染性风险压力测试结果</w:t>
      </w:r>
    </w:p>
    <w:p>
      <w:pPr>
        <w:pStyle w:val="BodyText"/>
        <w:ind w:firstLine="426"/>
        <w:spacing w:before="424" w:line="243" w:lineRule="auto"/>
        <w:jc w:val="both"/>
        <w:rPr/>
      </w:pPr>
      <w:r>
        <w:rPr>
          <w:color w:val="231F20"/>
          <w:spacing w:val="9"/>
        </w:rPr>
        <w:t>参试银行具备面对单家银行违约的抵御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9"/>
        </w:rPr>
        <w:t>能力，银行业中的非银行金融机构、证券业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和保险业金融机构违约并未显著增强银行间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5"/>
        </w:rPr>
        <w:t>的风险传染性。</w:t>
      </w:r>
      <w:r>
        <w:rPr>
          <w:color w:val="231F20"/>
          <w:spacing w:val="29"/>
          <w:w w:val="101"/>
        </w:rPr>
        <w:t xml:space="preserve"> </w:t>
      </w:r>
      <w:r>
        <w:rPr>
          <w:color w:val="231F20"/>
          <w:spacing w:val="5"/>
        </w:rPr>
        <w:t>在仅考虑参试银行之间发生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信用违约时，只有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家参试银行违约会导致其</w:t>
      </w:r>
      <w:r>
        <w:rPr>
          <w:color w:val="231F20"/>
          <w:spacing w:val="6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4"/>
        </w:rPr>
        <w:t>2</w:t>
      </w:r>
      <w:r>
        <w:rPr>
          <w:color w:val="231F20"/>
          <w:spacing w:val="14"/>
        </w:rPr>
        <w:t>家交易对手继续违约。若银行业中的非银</w:t>
      </w:r>
      <w:r>
        <w:rPr>
          <w:color w:val="231F20"/>
          <w:spacing w:val="11"/>
          <w:w w:val="101"/>
        </w:rPr>
        <w:t xml:space="preserve"> </w:t>
      </w:r>
      <w:r>
        <w:rPr>
          <w:color w:val="231F20"/>
          <w:spacing w:val="9"/>
        </w:rPr>
        <w:t>行金融机构首先发生违约，致使参试银行同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业资产受损，再考虑参试银行之间发生信用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8"/>
        </w:rPr>
        <w:t>违约，只有</w:t>
      </w:r>
      <w:r>
        <w:rPr>
          <w:rFonts w:ascii="Times New Roman" w:hAnsi="Times New Roman" w:eastAsia="Times New Roman" w:cs="Times New Roman"/>
          <w:color w:val="231F20"/>
          <w:spacing w:val="8"/>
        </w:rPr>
        <w:t>1</w:t>
      </w:r>
      <w:r>
        <w:rPr>
          <w:color w:val="231F20"/>
          <w:spacing w:val="8"/>
        </w:rPr>
        <w:t>家参试银行违约会导致其</w:t>
      </w:r>
      <w:r>
        <w:rPr>
          <w:rFonts w:ascii="Times New Roman" w:hAnsi="Times New Roman" w:eastAsia="Times New Roman" w:cs="Times New Roman"/>
          <w:color w:val="231F20"/>
          <w:spacing w:val="8"/>
        </w:rPr>
        <w:t>3</w:t>
      </w:r>
      <w:r>
        <w:rPr>
          <w:color w:val="231F20"/>
          <w:spacing w:val="8"/>
        </w:rPr>
        <w:t>家交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9"/>
        </w:rPr>
        <w:t>易对手继续违约。若证券业、保险业金融机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构首先发生违约，致使参试银行同业投资受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损，再考虑参试银行之间发生信用违约，有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4"/>
        </w:rPr>
        <w:t>2</w:t>
      </w:r>
      <w:r>
        <w:rPr>
          <w:color w:val="231F20"/>
          <w:spacing w:val="14"/>
        </w:rPr>
        <w:t>家银行违约会导致其个别交易对手继续违</w:t>
      </w:r>
      <w:r>
        <w:rPr>
          <w:color w:val="231F20"/>
          <w:spacing w:val="11"/>
          <w:w w:val="101"/>
        </w:rPr>
        <w:t xml:space="preserve"> </w:t>
      </w:r>
      <w:r>
        <w:rPr>
          <w:color w:val="231F20"/>
          <w:spacing w:val="-2"/>
        </w:rPr>
        <w:t>约。三种情景下，最大传染轮数均为</w:t>
      </w:r>
      <w:r>
        <w:rPr>
          <w:rFonts w:ascii="Times New Roman" w:hAnsi="Times New Roman" w:eastAsia="Times New Roman" w:cs="Times New Roman"/>
          <w:color w:val="231F20"/>
          <w:spacing w:val="-2"/>
        </w:rPr>
        <w:t>1</w:t>
      </w:r>
      <w:r>
        <w:rPr>
          <w:color w:val="231F20"/>
          <w:spacing w:val="-2"/>
        </w:rPr>
        <w:t>轮。</w:t>
      </w:r>
    </w:p>
    <w:p>
      <w:pPr>
        <w:spacing w:line="243" w:lineRule="auto"/>
        <w:sectPr>
          <w:type w:val="continuous"/>
          <w:pgSz w:w="11906" w:h="16158"/>
          <w:pgMar w:top="1385" w:right="1415" w:bottom="400" w:left="1702" w:header="1062" w:footer="0" w:gutter="0"/>
          <w:cols w:equalWidth="0" w:num="2">
            <w:col w:w="4524" w:space="100"/>
            <w:col w:w="4164" w:space="0"/>
          </w:cols>
        </w:sectPr>
        <w:rPr/>
      </w:pPr>
    </w:p>
    <w:p>
      <w:pPr>
        <w:pStyle w:val="BodyText"/>
        <w:spacing w:line="351" w:lineRule="auto"/>
        <w:rPr/>
      </w:pPr>
      <w:r/>
    </w:p>
    <w:p>
      <w:pPr>
        <w:pStyle w:val="BodyText"/>
        <w:spacing w:line="351" w:lineRule="auto"/>
        <w:rPr/>
      </w:pPr>
      <w:r/>
    </w:p>
    <w:p>
      <w:pPr>
        <w:pStyle w:val="BodyText"/>
        <w:ind w:left="2198"/>
        <w:spacing w:before="164" w:line="200" w:lineRule="auto"/>
        <w:outlineLvl w:val="0"/>
        <w:rPr>
          <w:sz w:val="34"/>
          <w:szCs w:val="34"/>
        </w:rPr>
      </w:pPr>
      <w:bookmarkStart w:name="bookmark33" w:id="59"/>
      <w:bookmarkEnd w:id="59"/>
      <w:r>
        <w:rPr>
          <w:sz w:val="34"/>
          <w:szCs w:val="34"/>
          <w:color w:val="174B8B"/>
          <w:spacing w:val="-2"/>
        </w:rPr>
        <w:t>专题三</w:t>
      </w:r>
      <w:r>
        <w:rPr>
          <w:sz w:val="34"/>
          <w:szCs w:val="34"/>
          <w:color w:val="174B8B"/>
          <w:spacing w:val="11"/>
        </w:rPr>
        <w:t xml:space="preserve">    </w:t>
      </w:r>
      <w:r>
        <w:rPr>
          <w:sz w:val="34"/>
          <w:szCs w:val="34"/>
          <w:color w:val="174B8B"/>
          <w:spacing w:val="-2"/>
        </w:rPr>
        <w:t>银行业气候风险分析</w:t>
      </w:r>
    </w:p>
    <w:p>
      <w:pPr>
        <w:spacing w:before="377"/>
        <w:rPr/>
      </w:pPr>
      <w:r/>
    </w:p>
    <w:p>
      <w:pPr>
        <w:sectPr>
          <w:headerReference w:type="default" r:id="rId357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3" w:right="357" w:firstLine="430"/>
        <w:spacing w:before="63" w:line="249" w:lineRule="auto"/>
        <w:jc w:val="both"/>
        <w:rPr/>
      </w:pPr>
      <w:r>
        <w:rPr>
          <w:color w:val="231F20"/>
          <w:spacing w:val="23"/>
        </w:rPr>
        <w:t>气候相关金融风险（以下简称气候风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险）是指极端天气、自然灾害、全球变暖等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气候因素及社会向可持续发展转型对经济金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融活动带来的潜在不确定性。当前国际社会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普遍认为，气候变化对金融体系的影响主要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体现在两个方面：</w:t>
      </w:r>
      <w:r>
        <w:rPr>
          <w:color w:val="231F20"/>
          <w:spacing w:val="49"/>
          <w:w w:val="101"/>
        </w:rPr>
        <w:t xml:space="preserve"> </w:t>
      </w:r>
      <w:r>
        <w:rPr>
          <w:color w:val="231F20"/>
          <w:spacing w:val="4"/>
        </w:rPr>
        <w:t>一是物理风险，即愈加频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繁、严重的自然灾害和极端天气事件造成经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济损失、资产贬值；二是转型风险，即经济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社会低碳转型引发能源和产业结构调整，直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接影响碳排放密集型企业和部门生产经营活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动，也间接影响住户部门、金融行业和其他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实体经济部门。</w:t>
      </w:r>
    </w:p>
    <w:p>
      <w:pPr>
        <w:pStyle w:val="BodyText"/>
        <w:ind w:left="3" w:right="357" w:firstLine="425"/>
        <w:spacing w:before="15" w:line="252" w:lineRule="auto"/>
        <w:jc w:val="both"/>
        <w:rPr/>
      </w:pPr>
      <w:r>
        <w:rPr>
          <w:rFonts w:ascii="Times New Roman" w:hAnsi="Times New Roman" w:eastAsia="Times New Roman" w:cs="Times New Roman"/>
          <w:color w:val="231F20"/>
          <w:spacing w:val="19"/>
        </w:rPr>
        <w:t>2024</w:t>
      </w:r>
      <w:r>
        <w:rPr>
          <w:rFonts w:ascii="Times New Roman" w:hAnsi="Times New Roman" w:eastAsia="Times New Roman" w:cs="Times New Roman"/>
          <w:color w:val="231F20"/>
          <w:spacing w:val="-18"/>
        </w:rPr>
        <w:t xml:space="preserve"> </w:t>
      </w:r>
      <w:r>
        <w:rPr>
          <w:color w:val="231F20"/>
          <w:spacing w:val="19"/>
        </w:rPr>
        <w:t>年，在中国金融管理部门的支持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下，国际货币基金组织和世界银行专家对中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国金融体系面临的气候风险开展专题分析，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范围包括转型风险和物理风险。该分析使用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20</w:t>
      </w:r>
      <w:r>
        <w:rPr>
          <w:color w:val="231F20"/>
          <w:spacing w:val="8"/>
        </w:rPr>
        <w:t>家全国系统重要性银行（</w:t>
      </w:r>
      <w:r>
        <w:rPr>
          <w:rFonts w:ascii="Times New Roman" w:hAnsi="Times New Roman" w:eastAsia="Times New Roman" w:cs="Times New Roman"/>
          <w:color w:val="231F20"/>
          <w:spacing w:val="8"/>
        </w:rPr>
        <w:t>D</w:t>
      </w:r>
      <w:r>
        <w:rPr>
          <w:color w:val="231F20"/>
          <w:spacing w:val="8"/>
        </w:rPr>
        <w:t>-</w:t>
      </w:r>
      <w:r>
        <w:rPr>
          <w:rFonts w:ascii="Times New Roman" w:hAnsi="Times New Roman" w:eastAsia="Times New Roman" w:cs="Times New Roman"/>
          <w:color w:val="231F20"/>
        </w:rPr>
        <w:t>SIBs</w:t>
      </w:r>
      <w:r>
        <w:rPr>
          <w:color w:val="231F20"/>
          <w:spacing w:val="8"/>
        </w:rPr>
        <w:t>）数据开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9"/>
        </w:rPr>
        <w:t>展转型风险分析，并使用公开数据分析物理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风险（台风和洪水）的影响。结果显示，经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济低碳转型对不同行业影响差异较大，我国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银行体系受转型风险影响较小；物理风险将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放大经济和金融尾部风险发生的概率，沿海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</w:rPr>
        <w:t>省份面临的风险较为突出。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77"/>
        <w:spacing w:before="59" w:line="176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4"/>
        </w:rPr>
        <w:t>一、转型风险分析</w:t>
      </w:r>
    </w:p>
    <w:p>
      <w:pPr>
        <w:pStyle w:val="BodyText"/>
        <w:ind w:firstLine="427"/>
        <w:spacing w:before="434" w:line="249" w:lineRule="auto"/>
        <w:jc w:val="both"/>
        <w:rPr/>
      </w:pPr>
      <w:r>
        <w:rPr>
          <w:color w:val="231F20"/>
          <w:spacing w:val="10"/>
        </w:rPr>
        <w:t>情景设置。</w:t>
      </w:r>
      <w:r>
        <w:rPr>
          <w:color w:val="231F20"/>
          <w:spacing w:val="51"/>
          <w:w w:val="101"/>
        </w:rPr>
        <w:t xml:space="preserve"> </w:t>
      </w:r>
      <w:r>
        <w:rPr>
          <w:color w:val="231F20"/>
          <w:spacing w:val="10"/>
        </w:rPr>
        <w:t>转型风险分析共包括</w:t>
      </w:r>
      <w:r>
        <w:rPr>
          <w:rFonts w:ascii="Times New Roman" w:hAnsi="Times New Roman" w:eastAsia="Times New Roman" w:cs="Times New Roman"/>
          <w:color w:val="231F20"/>
          <w:spacing w:val="10"/>
        </w:rPr>
        <w:t>4</w:t>
      </w:r>
      <w:r>
        <w:rPr>
          <w:color w:val="231F20"/>
          <w:spacing w:val="10"/>
        </w:rPr>
        <w:t>种情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景。根据内部模型生成</w:t>
      </w:r>
      <w:r>
        <w:rPr>
          <w:rFonts w:ascii="Times New Roman" w:hAnsi="Times New Roman" w:eastAsia="Times New Roman" w:cs="Times New Roman"/>
          <w:color w:val="231F20"/>
          <w:spacing w:val="8"/>
        </w:rPr>
        <w:t>1</w:t>
      </w:r>
      <w:r>
        <w:rPr>
          <w:color w:val="231F20"/>
          <w:spacing w:val="8"/>
        </w:rPr>
        <w:t>种基线情景和</w:t>
      </w:r>
      <w:r>
        <w:rPr>
          <w:rFonts w:ascii="Times New Roman" w:hAnsi="Times New Roman" w:eastAsia="Times New Roman" w:cs="Times New Roman"/>
          <w:color w:val="231F20"/>
          <w:spacing w:val="8"/>
        </w:rPr>
        <w:t>3</w:t>
      </w:r>
      <w:r>
        <w:rPr>
          <w:color w:val="231F20"/>
          <w:spacing w:val="8"/>
        </w:rPr>
        <w:t>种压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力情景。各情景和央行与监管机构绿色金融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网络（</w:t>
      </w:r>
      <w:r>
        <w:rPr>
          <w:rFonts w:ascii="Times New Roman" w:hAnsi="Times New Roman" w:eastAsia="Times New Roman" w:cs="Times New Roman"/>
          <w:color w:val="231F20"/>
        </w:rPr>
        <w:t>NGFS</w:t>
      </w:r>
      <w:r>
        <w:rPr>
          <w:color w:val="231F20"/>
          <w:spacing w:val="2"/>
        </w:rPr>
        <w:t>）情景基本相符，且考虑了中国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4"/>
        </w:rPr>
        <w:t>的“</w:t>
      </w:r>
      <w:r>
        <w:rPr>
          <w:rFonts w:ascii="Times New Roman" w:hAnsi="Times New Roman" w:eastAsia="Times New Roman" w:cs="Times New Roman"/>
          <w:color w:val="231F20"/>
          <w:spacing w:val="4"/>
        </w:rPr>
        <w:t>30·60</w:t>
      </w:r>
      <w:r>
        <w:rPr>
          <w:color w:val="231F20"/>
          <w:spacing w:val="4"/>
        </w:rPr>
        <w:t>”双碳目标。基线情景假设“维持</w:t>
      </w:r>
      <w:r>
        <w:rPr>
          <w:color w:val="231F20"/>
          <w:spacing w:val="11"/>
          <w:w w:val="101"/>
        </w:rPr>
        <w:t xml:space="preserve"> </w:t>
      </w:r>
      <w:r>
        <w:rPr>
          <w:color w:val="231F20"/>
          <w:spacing w:val="-1"/>
        </w:rPr>
        <w:t>现有政策不变”。</w:t>
      </w:r>
      <w:r>
        <w:rPr>
          <w:color w:val="231F20"/>
          <w:spacing w:val="-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-1"/>
        </w:rPr>
        <w:t>3</w:t>
      </w:r>
      <w:r>
        <w:rPr>
          <w:color w:val="231F20"/>
          <w:spacing w:val="-1"/>
        </w:rPr>
        <w:t>种压力情景分别为： 一是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“有序转型”，即中国按照计划逐步减碳，</w:t>
      </w:r>
      <w:r>
        <w:rPr>
          <w:color w:val="231F20"/>
        </w:rPr>
        <w:t xml:space="preserve">  </w:t>
      </w:r>
      <w:r>
        <w:rPr>
          <w:color w:val="231F20"/>
          <w:spacing w:val="5"/>
        </w:rPr>
        <w:t>实现</w:t>
      </w:r>
      <w:r>
        <w:rPr>
          <w:rFonts w:ascii="Times New Roman" w:hAnsi="Times New Roman" w:eastAsia="Times New Roman" w:cs="Times New Roman"/>
          <w:color w:val="231F20"/>
          <w:spacing w:val="5"/>
        </w:rPr>
        <w:t>2030</w:t>
      </w:r>
      <w:r>
        <w:rPr>
          <w:color w:val="231F20"/>
          <w:spacing w:val="5"/>
        </w:rPr>
        <w:t>年前碳达峰、 </w:t>
      </w:r>
      <w:r>
        <w:rPr>
          <w:rFonts w:ascii="Times New Roman" w:hAnsi="Times New Roman" w:eastAsia="Times New Roman" w:cs="Times New Roman"/>
          <w:color w:val="231F20"/>
          <w:spacing w:val="5"/>
        </w:rPr>
        <w:t>2060</w:t>
      </w:r>
      <w:r>
        <w:rPr>
          <w:color w:val="231F20"/>
          <w:spacing w:val="5"/>
        </w:rPr>
        <w:t>年前碳中和的气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候目标；二是“中国无序转型”，即全球其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他经济体按照既定目标有序转型，中国碳达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峰延迟，但仍要完成</w:t>
      </w:r>
      <w:r>
        <w:rPr>
          <w:rFonts w:ascii="Times New Roman" w:hAnsi="Times New Roman" w:eastAsia="Times New Roman" w:cs="Times New Roman"/>
          <w:color w:val="231F20"/>
          <w:spacing w:val="8"/>
        </w:rPr>
        <w:t>2060</w:t>
      </w:r>
      <w:r>
        <w:rPr>
          <w:color w:val="231F20"/>
          <w:spacing w:val="8"/>
        </w:rPr>
        <w:t>年碳中和目标，因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此需要加速落实转型政策；三是“全球无序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转型”，即全球各经济体前期转型进展均停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滞，为实现碳中和目标，后期均需加速落实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>转型政策。</w:t>
      </w:r>
    </w:p>
    <w:p>
      <w:pPr>
        <w:pStyle w:val="BodyText"/>
        <w:ind w:firstLine="426"/>
        <w:spacing w:before="2" w:line="249" w:lineRule="auto"/>
        <w:jc w:val="both"/>
        <w:rPr/>
      </w:pPr>
      <w:r>
        <w:rPr>
          <w:color w:val="231F20"/>
          <w:spacing w:val="4"/>
        </w:rPr>
        <w:t>分析期限。</w:t>
      </w:r>
      <w:r>
        <w:rPr>
          <w:color w:val="231F20"/>
          <w:spacing w:val="33"/>
          <w:w w:val="101"/>
        </w:rPr>
        <w:t xml:space="preserve"> </w:t>
      </w:r>
      <w:r>
        <w:rPr>
          <w:color w:val="231F20"/>
          <w:spacing w:val="4"/>
        </w:rPr>
        <w:t>以</w:t>
      </w:r>
      <w:r>
        <w:rPr>
          <w:rFonts w:ascii="Times New Roman" w:hAnsi="Times New Roman" w:eastAsia="Times New Roman" w:cs="Times New Roman"/>
          <w:color w:val="231F20"/>
          <w:spacing w:val="4"/>
        </w:rPr>
        <w:t>2023</w:t>
      </w:r>
      <w:r>
        <w:rPr>
          <w:color w:val="231F20"/>
          <w:spacing w:val="4"/>
        </w:rPr>
        <w:t>年末为基期，至</w:t>
      </w:r>
      <w:r>
        <w:rPr>
          <w:rFonts w:ascii="Times New Roman" w:hAnsi="Times New Roman" w:eastAsia="Times New Roman" w:cs="Times New Roman"/>
          <w:color w:val="231F20"/>
          <w:spacing w:val="4"/>
        </w:rPr>
        <w:t>2040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9"/>
        </w:rPr>
        <w:t>年结束。分析基于静态资产负债表假设，即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在此期间参试银行资产负债结构保持不变。</w:t>
      </w:r>
    </w:p>
    <w:p>
      <w:pPr>
        <w:pStyle w:val="BodyText"/>
        <w:ind w:firstLine="426"/>
        <w:spacing w:before="6" w:line="224" w:lineRule="auto"/>
        <w:jc w:val="both"/>
        <w:rPr/>
      </w:pPr>
      <w:r>
        <w:rPr>
          <w:color w:val="231F20"/>
          <w:spacing w:val="7"/>
        </w:rPr>
        <w:t>分析方法。 构建了“宏观经济—公司财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10"/>
        </w:rPr>
        <w:t>务—银行损失”的风险传导模型。基本思路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9"/>
        </w:rPr>
        <w:t>是，将各转型风险压力情景下的宏观经济指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标（行业增加值等）与企业相关指标（息税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前利润等）相关联，测算转型风险对企业生</w:t>
      </w:r>
    </w:p>
    <w:p>
      <w:pPr>
        <w:spacing w:line="224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6" w:space="100"/>
            <w:col w:w="4163" w:space="0"/>
          </w:cols>
        </w:sectPr>
        <w:rPr/>
      </w:pPr>
    </w:p>
    <w:p>
      <w:pPr>
        <w:spacing w:before="151"/>
        <w:rPr/>
      </w:pPr>
      <w:r/>
    </w:p>
    <w:p>
      <w:pPr>
        <w:sectPr>
          <w:headerReference w:type="default" r:id="rId358"/>
          <w:pgSz w:w="11906" w:h="16158"/>
          <w:pgMar w:top="1385" w:right="1416" w:bottom="400" w:left="1704" w:header="1062" w:footer="0" w:gutter="0"/>
          <w:cols w:equalWidth="0" w:num="1">
            <w:col w:w="8784" w:space="0"/>
          </w:cols>
        </w:sectPr>
        <w:rPr/>
      </w:pPr>
    </w:p>
    <w:p>
      <w:pPr>
        <w:pStyle w:val="BodyText"/>
        <w:ind w:left="1" w:right="357" w:firstLine="1"/>
        <w:spacing w:before="49" w:line="249" w:lineRule="auto"/>
        <w:jc w:val="both"/>
        <w:rPr/>
      </w:pPr>
      <w:r>
        <w:rPr>
          <w:color w:val="231F20"/>
          <w:spacing w:val="8"/>
        </w:rPr>
        <w:t>产经营和还款能力的影响程度，进而测算企</w:t>
      </w:r>
      <w:r>
        <w:rPr>
          <w:color w:val="231F20"/>
          <w:spacing w:val="17"/>
          <w:w w:val="101"/>
        </w:rPr>
        <w:t xml:space="preserve"> </w:t>
      </w:r>
      <w:r>
        <w:rPr>
          <w:color w:val="231F20"/>
          <w:spacing w:val="5"/>
        </w:rPr>
        <w:t>业违约概率（</w:t>
      </w:r>
      <w:r>
        <w:rPr>
          <w:rFonts w:ascii="Times New Roman" w:hAnsi="Times New Roman" w:eastAsia="Times New Roman" w:cs="Times New Roman"/>
          <w:color w:val="231F20"/>
        </w:rPr>
        <w:t>PD</w:t>
      </w:r>
      <w:r>
        <w:rPr>
          <w:color w:val="231F20"/>
          <w:spacing w:val="5"/>
        </w:rPr>
        <w:t>）的变化情况。对于信用风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9"/>
        </w:rPr>
        <w:t>险，将企业级违约概率数据加权形成分行业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的违约概率变化情况，再结合银行对不同行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业的敞口规模，测算不同情景下参试银行的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信用损失。对于市场风险，企业违约概率变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化将导致信用利差发生变化，进而影响企业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债券估值，再将企业级债券估值变化加总，</w:t>
      </w:r>
      <w:r>
        <w:rPr>
          <w:color w:val="231F20"/>
        </w:rPr>
        <w:t xml:space="preserve">  </w:t>
      </w:r>
      <w:r>
        <w:rPr>
          <w:color w:val="231F20"/>
          <w:spacing w:val="-3"/>
        </w:rPr>
        <w:t>形成不同情景下的市场损失。</w:t>
      </w:r>
    </w:p>
    <w:p>
      <w:pPr>
        <w:pStyle w:val="BodyText"/>
        <w:ind w:right="254" w:firstLine="426"/>
        <w:spacing w:before="14" w:line="252" w:lineRule="auto"/>
        <w:jc w:val="both"/>
        <w:rPr/>
      </w:pPr>
      <w:r>
        <w:rPr>
          <w:color w:val="231F20"/>
          <w:spacing w:val="6"/>
        </w:rPr>
        <w:t>分析结论。 虽然在各压力情景下，几乎</w:t>
      </w:r>
      <w:r>
        <w:rPr>
          <w:color w:val="231F20"/>
          <w:spacing w:val="2"/>
        </w:rPr>
        <w:t xml:space="preserve">   </w:t>
      </w:r>
      <w:r>
        <w:rPr>
          <w:color w:val="231F20"/>
          <w:spacing w:val="9"/>
        </w:rPr>
        <w:t>所有行业的违约概率都有所上升，但由于参</w:t>
      </w:r>
      <w:r>
        <w:rPr>
          <w:color w:val="231F20"/>
        </w:rPr>
        <w:t xml:space="preserve">   </w:t>
      </w:r>
      <w:r>
        <w:rPr>
          <w:color w:val="231F20"/>
          <w:spacing w:val="7"/>
        </w:rPr>
        <w:t>试银行对碳排放密集型行业的敞口并不大，</w:t>
      </w:r>
      <w:r>
        <w:rPr>
          <w:color w:val="231F20"/>
        </w:rPr>
        <w:t xml:space="preserve">    </w:t>
      </w:r>
      <w:r>
        <w:rPr>
          <w:color w:val="231F20"/>
          <w:spacing w:val="9"/>
        </w:rPr>
        <w:t>转型风险对中国银行业的影响较为有限。具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体来看，有序转型情景下损失很小，参试银</w:t>
      </w:r>
      <w:r>
        <w:rPr>
          <w:color w:val="231F20"/>
        </w:rPr>
        <w:t xml:space="preserve">   </w:t>
      </w:r>
      <w:r>
        <w:rPr>
          <w:color w:val="231F20"/>
          <w:spacing w:val="8"/>
        </w:rPr>
        <w:t>行到</w:t>
      </w:r>
      <w:r>
        <w:rPr>
          <w:rFonts w:ascii="Times New Roman" w:hAnsi="Times New Roman" w:eastAsia="Times New Roman" w:cs="Times New Roman"/>
          <w:color w:val="231F20"/>
          <w:spacing w:val="8"/>
        </w:rPr>
        <w:t>2040</w:t>
      </w:r>
      <w:r>
        <w:rPr>
          <w:color w:val="231F20"/>
          <w:spacing w:val="8"/>
        </w:rPr>
        <w:t>年的累计总损失与风险加权资产的</w:t>
      </w:r>
      <w:r>
        <w:rPr>
          <w:color w:val="231F20"/>
        </w:rPr>
        <w:t xml:space="preserve">   </w:t>
      </w:r>
      <w:r>
        <w:rPr>
          <w:color w:val="231F20"/>
          <w:spacing w:val="3"/>
        </w:rPr>
        <w:t>比值较基线情景上升不足</w:t>
      </w:r>
      <w:r>
        <w:rPr>
          <w:rFonts w:ascii="Times New Roman" w:hAnsi="Times New Roman" w:eastAsia="Times New Roman" w:cs="Times New Roman"/>
          <w:color w:val="231F20"/>
          <w:spacing w:val="3"/>
        </w:rPr>
        <w:t>1</w:t>
      </w:r>
      <w:r>
        <w:rPr>
          <w:color w:val="231F20"/>
          <w:spacing w:val="3"/>
        </w:rPr>
        <w:t>个百分点；两个无</w:t>
      </w:r>
      <w:r>
        <w:rPr>
          <w:color w:val="231F20"/>
          <w:spacing w:val="1"/>
        </w:rPr>
        <w:t xml:space="preserve">   </w:t>
      </w:r>
      <w:r>
        <w:rPr>
          <w:color w:val="231F20"/>
          <w:spacing w:val="9"/>
        </w:rPr>
        <w:t>序转型情景损失相对较大，累计总损失与风</w:t>
      </w:r>
      <w:r>
        <w:rPr>
          <w:color w:val="231F20"/>
        </w:rPr>
        <w:t xml:space="preserve">   </w:t>
      </w:r>
      <w:r>
        <w:rPr>
          <w:color w:val="231F20"/>
          <w:spacing w:val="3"/>
        </w:rPr>
        <w:t>险加权资产的比值较基线情景上升约</w:t>
      </w:r>
      <w:r>
        <w:rPr>
          <w:rFonts w:ascii="Times New Roman" w:hAnsi="Times New Roman" w:eastAsia="Times New Roman" w:cs="Times New Roman"/>
          <w:color w:val="231F20"/>
          <w:spacing w:val="3"/>
        </w:rPr>
        <w:t>9</w:t>
      </w:r>
      <w:r>
        <w:rPr>
          <w:color w:val="231F20"/>
          <w:spacing w:val="3"/>
        </w:rPr>
        <w:t>个百分</w:t>
      </w:r>
      <w:r>
        <w:rPr>
          <w:color w:val="231F20"/>
          <w:spacing w:val="1"/>
        </w:rPr>
        <w:t xml:space="preserve">   </w:t>
      </w:r>
      <w:r>
        <w:rPr>
          <w:color w:val="231F20"/>
          <w:spacing w:val="9"/>
        </w:rPr>
        <w:t>点。整体来看，中国银行业有能力支持经济</w:t>
      </w:r>
      <w:r>
        <w:rPr>
          <w:color w:val="231F20"/>
        </w:rPr>
        <w:t xml:space="preserve">   </w:t>
      </w:r>
      <w:r>
        <w:rPr>
          <w:color w:val="231F20"/>
          <w:spacing w:val="8"/>
        </w:rPr>
        <w:t>更快实现绿色低碳转型，助力实现“</w:t>
      </w:r>
      <w:r>
        <w:rPr>
          <w:rFonts w:ascii="Times New Roman" w:hAnsi="Times New Roman" w:eastAsia="Times New Roman" w:cs="Times New Roman"/>
          <w:color w:val="231F20"/>
          <w:spacing w:val="8"/>
        </w:rPr>
        <w:t>30·60</w:t>
      </w:r>
      <w:r>
        <w:rPr>
          <w:rFonts w:ascii="Times New Roman" w:hAnsi="Times New Roman" w:eastAsia="Times New Roman" w:cs="Times New Roman"/>
          <w:color w:val="231F20"/>
          <w:spacing w:val="-24"/>
        </w:rPr>
        <w:t xml:space="preserve"> </w:t>
      </w:r>
      <w:r>
        <w:rPr>
          <w:color w:val="231F20"/>
          <w:spacing w:val="8"/>
        </w:rPr>
        <w:t>”</w:t>
      </w:r>
      <w:r>
        <w:rPr>
          <w:color w:val="231F20"/>
        </w:rPr>
        <w:t xml:space="preserve"> </w:t>
      </w:r>
      <w:r>
        <w:rPr>
          <w:color w:val="231F20"/>
          <w:spacing w:val="-8"/>
        </w:rPr>
        <w:t>目标。</w:t>
      </w:r>
    </w:p>
    <w:p>
      <w:pPr>
        <w:pStyle w:val="BodyText"/>
        <w:ind w:left="477"/>
        <w:spacing w:before="400" w:line="175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2"/>
        </w:rPr>
        <w:t>二、物理风险分析</w:t>
      </w:r>
    </w:p>
    <w:p>
      <w:pPr>
        <w:pStyle w:val="BodyText"/>
        <w:ind w:left="2" w:right="357" w:firstLine="449"/>
        <w:spacing w:before="421" w:line="229" w:lineRule="auto"/>
        <w:jc w:val="both"/>
        <w:rPr/>
      </w:pPr>
      <w:r>
        <w:rPr>
          <w:color w:val="231F20"/>
          <w:spacing w:val="8"/>
        </w:rPr>
        <w:t>中国幅员辽阔、地理环境复杂多样，易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9"/>
        </w:rPr>
        <w:t>因洪水、台风、干旱等自然灾害遭受经济损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失。选择中国发生频率较高、造成经济损失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较大的洪水和台风作为研究对象，利用公开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数据，分析物理风险对中国经济金融稳定的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>影响。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427"/>
        <w:spacing w:before="49" w:line="249" w:lineRule="auto"/>
        <w:jc w:val="both"/>
        <w:rPr/>
      </w:pPr>
      <w:r>
        <w:rPr>
          <w:color w:val="231F20"/>
          <w:spacing w:val="10"/>
        </w:rPr>
        <w:t>情景设置。</w:t>
      </w:r>
      <w:r>
        <w:rPr>
          <w:color w:val="231F20"/>
          <w:spacing w:val="51"/>
          <w:w w:val="101"/>
        </w:rPr>
        <w:t xml:space="preserve"> </w:t>
      </w:r>
      <w:r>
        <w:rPr>
          <w:color w:val="231F20"/>
          <w:spacing w:val="10"/>
        </w:rPr>
        <w:t>物理风险分析共包括</w:t>
      </w:r>
      <w:r>
        <w:rPr>
          <w:rFonts w:ascii="Times New Roman" w:hAnsi="Times New Roman" w:eastAsia="Times New Roman" w:cs="Times New Roman"/>
          <w:color w:val="231F20"/>
          <w:spacing w:val="10"/>
        </w:rPr>
        <w:t>2</w:t>
      </w:r>
      <w:r>
        <w:rPr>
          <w:color w:val="231F20"/>
          <w:spacing w:val="10"/>
        </w:rPr>
        <w:t>种情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景：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7"/>
        </w:rPr>
        <w:t>一是基线情景，基于历史气候环境生成</w:t>
      </w:r>
      <w:r>
        <w:rPr>
          <w:color w:val="231F20"/>
        </w:rPr>
        <w:t xml:space="preserve"> </w:t>
      </w:r>
      <w:r>
        <w:rPr>
          <w:color w:val="231F20"/>
          <w:spacing w:val="8"/>
        </w:rPr>
        <w:t>的至</w:t>
      </w:r>
      <w:r>
        <w:rPr>
          <w:rFonts w:ascii="Times New Roman" w:hAnsi="Times New Roman" w:eastAsia="Times New Roman" w:cs="Times New Roman"/>
          <w:color w:val="231F20"/>
          <w:spacing w:val="8"/>
        </w:rPr>
        <w:t>2050</w:t>
      </w:r>
      <w:r>
        <w:rPr>
          <w:color w:val="231F20"/>
          <w:spacing w:val="8"/>
        </w:rPr>
        <w:t>年的气候情景，不考虑气候变化加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21"/>
        </w:rPr>
        <w:t>重自然灾害的严重程度；二是气候变化情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景，使用联合国政府间气候变化专门委员会</w:t>
      </w:r>
      <w:r>
        <w:rPr>
          <w:color w:val="231F20"/>
        </w:rPr>
        <w:t xml:space="preserve"> </w:t>
      </w:r>
      <w:r>
        <w:rPr>
          <w:color w:val="231F20"/>
          <w:spacing w:val="14"/>
        </w:rPr>
        <w:t>（</w:t>
      </w:r>
      <w:r>
        <w:rPr>
          <w:rFonts w:ascii="Times New Roman" w:hAnsi="Times New Roman" w:eastAsia="Times New Roman" w:cs="Times New Roman"/>
          <w:color w:val="231F20"/>
        </w:rPr>
        <w:t>IPCC</w:t>
      </w:r>
      <w:r>
        <w:rPr>
          <w:color w:val="231F20"/>
          <w:spacing w:val="14"/>
        </w:rPr>
        <w:t>）排放情景中的高排放情景（</w:t>
      </w:r>
      <w:r>
        <w:rPr>
          <w:rFonts w:ascii="Times New Roman" w:hAnsi="Times New Roman" w:eastAsia="Times New Roman" w:cs="Times New Roman"/>
          <w:color w:val="231F20"/>
        </w:rPr>
        <w:t>SSP</w:t>
      </w:r>
      <w:r>
        <w:rPr>
          <w:rFonts w:ascii="Times New Roman" w:hAnsi="Times New Roman" w:eastAsia="Times New Roman" w:cs="Times New Roman"/>
          <w:color w:val="231F20"/>
          <w:spacing w:val="14"/>
        </w:rPr>
        <w:t>5</w:t>
      </w:r>
      <w:r>
        <w:rPr>
          <w:color w:val="231F20"/>
          <w:spacing w:val="14"/>
        </w:rPr>
        <w:t>-</w:t>
      </w:r>
      <w:r>
        <w:rPr>
          <w:color w:val="231F20"/>
          <w:spacing w:val="1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5"/>
        </w:rPr>
        <w:t>8.5</w:t>
      </w:r>
      <w:r>
        <w:rPr>
          <w:color w:val="231F20"/>
          <w:spacing w:val="8"/>
        </w:rPr>
        <w:t>），</w:t>
      </w:r>
      <w:r>
        <w:rPr>
          <w:color w:val="231F20"/>
          <w:spacing w:val="5"/>
        </w:rPr>
        <w:t>分析极端台风和洪水对</w:t>
      </w:r>
      <w:r>
        <w:rPr>
          <w:rFonts w:ascii="Times New Roman" w:hAnsi="Times New Roman" w:eastAsia="Times New Roman" w:cs="Times New Roman"/>
          <w:color w:val="231F20"/>
          <w:spacing w:val="5"/>
        </w:rPr>
        <w:t>31</w:t>
      </w:r>
      <w:r>
        <w:rPr>
          <w:color w:val="231F20"/>
          <w:spacing w:val="5"/>
        </w:rPr>
        <w:t>个省份（不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含港澳台地区）经济发展和金融体系稳健性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的影响，灾害发生概率分别考虑十年一遇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（即每年发生概率为</w:t>
      </w:r>
      <w:r>
        <w:rPr>
          <w:rFonts w:ascii="Times New Roman" w:hAnsi="Times New Roman" w:eastAsia="Times New Roman" w:cs="Times New Roman"/>
          <w:color w:val="231F20"/>
          <w:spacing w:val="-1"/>
        </w:rPr>
        <w:t>10%</w:t>
      </w:r>
      <w:r>
        <w:rPr>
          <w:color w:val="231F20"/>
          <w:spacing w:val="-1"/>
        </w:rPr>
        <w:t>，后同）、二十年一</w:t>
      </w:r>
      <w:r>
        <w:rPr>
          <w:color w:val="231F20"/>
          <w:spacing w:val="16"/>
          <w:w w:val="101"/>
        </w:rPr>
        <w:t xml:space="preserve"> </w:t>
      </w:r>
      <w:r>
        <w:rPr>
          <w:color w:val="231F20"/>
          <w:spacing w:val="9"/>
        </w:rPr>
        <w:t>遇、五十年一遇、百年一遇、二百年一遇和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五百年一遇</w:t>
      </w:r>
      <w:r>
        <w:rPr>
          <w:rFonts w:ascii="Times New Roman" w:hAnsi="Times New Roman" w:eastAsia="Times New Roman" w:cs="Times New Roman"/>
          <w:color w:val="231F20"/>
          <w:spacing w:val="-3"/>
        </w:rPr>
        <w:t>6</w:t>
      </w:r>
      <w:r>
        <w:rPr>
          <w:color w:val="231F20"/>
          <w:spacing w:val="-3"/>
        </w:rPr>
        <w:t>种情况。</w:t>
      </w:r>
    </w:p>
    <w:p>
      <w:pPr>
        <w:pStyle w:val="BodyText"/>
        <w:ind w:firstLine="427"/>
        <w:spacing w:before="3" w:line="249" w:lineRule="auto"/>
        <w:jc w:val="both"/>
        <w:rPr/>
      </w:pPr>
      <w:r>
        <w:rPr>
          <w:color w:val="231F20"/>
          <w:spacing w:val="5"/>
        </w:rPr>
        <w:t>分析期限。</w:t>
      </w:r>
      <w:r>
        <w:rPr>
          <w:color w:val="231F20"/>
          <w:spacing w:val="20"/>
          <w:w w:val="102"/>
        </w:rPr>
        <w:t xml:space="preserve"> </w:t>
      </w:r>
      <w:r>
        <w:rPr>
          <w:color w:val="231F20"/>
          <w:spacing w:val="5"/>
        </w:rPr>
        <w:t>以</w:t>
      </w:r>
      <w:r>
        <w:rPr>
          <w:rFonts w:ascii="Times New Roman" w:hAnsi="Times New Roman" w:eastAsia="Times New Roman" w:cs="Times New Roman"/>
          <w:color w:val="231F20"/>
          <w:spacing w:val="5"/>
        </w:rPr>
        <w:t>2023</w:t>
      </w:r>
      <w:r>
        <w:rPr>
          <w:color w:val="231F20"/>
          <w:spacing w:val="5"/>
        </w:rPr>
        <w:t>年末为基期，分析到</w:t>
      </w:r>
      <w:r>
        <w:rPr>
          <w:color w:val="231F20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8"/>
        </w:rPr>
        <w:t>2050</w:t>
      </w:r>
      <w:r>
        <w:rPr>
          <w:color w:val="231F20"/>
          <w:spacing w:val="8"/>
        </w:rPr>
        <w:t>年底前，如发生情景所述强度的洪水或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3"/>
        </w:rPr>
        <w:t>台风，自灾害发生起</w:t>
      </w:r>
      <w:r>
        <w:rPr>
          <w:rFonts w:ascii="Times New Roman" w:hAnsi="Times New Roman" w:eastAsia="Times New Roman" w:cs="Times New Roman"/>
          <w:color w:val="231F20"/>
          <w:spacing w:val="3"/>
        </w:rPr>
        <w:t>3</w:t>
      </w:r>
      <w:r>
        <w:rPr>
          <w:color w:val="231F20"/>
          <w:spacing w:val="3"/>
        </w:rPr>
        <w:t>年内经济金融体系受影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7"/>
        </w:rPr>
        <w:t>响程度。</w:t>
      </w:r>
    </w:p>
    <w:p>
      <w:pPr>
        <w:pStyle w:val="BodyText"/>
        <w:ind w:firstLine="427"/>
        <w:spacing w:before="5" w:line="249" w:lineRule="auto"/>
        <w:jc w:val="both"/>
        <w:rPr/>
      </w:pPr>
      <w:r>
        <w:rPr>
          <w:color w:val="231F20"/>
          <w:spacing w:val="15"/>
        </w:rPr>
        <w:t>分析方法。</w:t>
      </w:r>
      <w:r>
        <w:rPr>
          <w:color w:val="231F20"/>
          <w:spacing w:val="19"/>
          <w:w w:val="101"/>
        </w:rPr>
        <w:t xml:space="preserve">  </w:t>
      </w:r>
      <w:r>
        <w:rPr>
          <w:color w:val="231F20"/>
          <w:spacing w:val="15"/>
        </w:rPr>
        <w:t>考虑到气候变化具有高度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不确定性，该分析构建了一套利用各省份国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内生产总值、资本存量、债务等数据估算银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行业贷款违约概率和公司债信用利差的随机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模型，通过带入灾害资产损失和产出缺口数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据，可以计算出相关经济和金融指标的概率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8"/>
        </w:rPr>
        <w:t>分布。</w:t>
      </w:r>
    </w:p>
    <w:p>
      <w:pPr>
        <w:pStyle w:val="BodyText"/>
        <w:ind w:left="2" w:firstLine="425"/>
        <w:spacing w:before="7" w:line="233" w:lineRule="auto"/>
        <w:jc w:val="both"/>
        <w:rPr/>
      </w:pPr>
      <w:r>
        <w:rPr>
          <w:color w:val="231F20"/>
          <w:spacing w:val="15"/>
        </w:rPr>
        <w:t>分析结论。  在全球升温背景下，极端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9"/>
        </w:rPr>
        <w:t>自然灾害将更加频繁，对中国经济造成较大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负面冲击的可能性将上升，金融体系潜在损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失也会增加。分地区看，气候变化使得东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部沿海地区遭受潜在经济损失的可能性大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幅上升，而这一地区对中国经济的贡献也</w:t>
      </w:r>
      <w:r>
        <w:rPr>
          <w:color w:val="231F20"/>
        </w:rPr>
        <w:t xml:space="preserve"> </w:t>
      </w:r>
      <w:r>
        <w:rPr>
          <w:color w:val="231F20"/>
          <w:spacing w:val="-9"/>
        </w:rPr>
        <w:t>最大。</w:t>
      </w:r>
    </w:p>
    <w:p>
      <w:pPr>
        <w:spacing w:line="233" w:lineRule="auto"/>
        <w:sectPr>
          <w:type w:val="continuous"/>
          <w:pgSz w:w="11906" w:h="16158"/>
          <w:pgMar w:top="1385" w:right="1416" w:bottom="400" w:left="1704" w:header="1062" w:footer="0" w:gutter="0"/>
          <w:cols w:equalWidth="0" w:num="2">
            <w:col w:w="4521" w:space="100"/>
            <w:col w:w="4164" w:space="0"/>
          </w:cols>
        </w:sectPr>
        <w:rPr/>
      </w:pPr>
    </w:p>
    <w:p>
      <w:pPr>
        <w:spacing w:before="163"/>
        <w:rPr/>
      </w:pPr>
      <w:r/>
    </w:p>
    <w:p>
      <w:pPr>
        <w:sectPr>
          <w:headerReference w:type="default" r:id="rId359"/>
          <w:pgSz w:w="11906" w:h="16158"/>
          <w:pgMar w:top="1367" w:right="1700" w:bottom="400" w:left="1417" w:header="1044" w:footer="0" w:gutter="0"/>
          <w:cols w:equalWidth="0" w:num="1">
            <w:col w:w="8789" w:space="0"/>
          </w:cols>
        </w:sectPr>
        <w:rPr/>
      </w:pPr>
    </w:p>
    <w:p>
      <w:pPr>
        <w:pStyle w:val="BodyText"/>
        <w:ind w:left="5" w:right="358" w:firstLine="423"/>
        <w:spacing w:before="53" w:line="253" w:lineRule="auto"/>
        <w:rPr/>
      </w:pPr>
      <w:r>
        <w:rPr>
          <w:color w:val="231F20"/>
          <w:spacing w:val="5"/>
        </w:rPr>
        <w:t>上述风险分析也有一定局限性：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5"/>
        </w:rPr>
        <w:t>一是气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候环境的变化及其影响都具有很强的不确定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性，要准确建模较为困难；二是气候情景基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本都是长期情景，将长期情景进行改造来分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析短期内的金融稳定风险，也可能存在一定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问题；三是数据存在缺口，数据质量不高。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9"/>
        </w:rPr>
        <w:t>因此，应审慎解读气候风险分析结论，这一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分析的目的主要是发现中国金融体系的潜在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风险点，而非鼓励监管部门根据分析结果采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取任何政策措施。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479"/>
        <w:spacing w:before="60" w:line="171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4"/>
        </w:rPr>
        <w:t>三、建议</w:t>
      </w:r>
    </w:p>
    <w:p>
      <w:pPr>
        <w:pStyle w:val="BodyText"/>
        <w:ind w:firstLine="429"/>
        <w:spacing w:before="425" w:line="236" w:lineRule="auto"/>
        <w:rPr/>
      </w:pPr>
      <w:r>
        <w:rPr>
          <w:color w:val="231F20"/>
          <w:spacing w:val="9"/>
        </w:rPr>
        <w:t>金融管理部门应进一步加强气候风险数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9"/>
        </w:rPr>
        <w:t>据收集工作，统一数据标准，细化数据采集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颗粒度和范围，以便对转型风险和物理风险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开展更加细致的分析。金融管理部门应加强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自身能力建设，定期开展气候风险分析，同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时还应加强与其他政府部门、学术界和金融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机构的沟通交流，利用其在气候相关数据、</w:t>
      </w:r>
      <w:r>
        <w:rPr>
          <w:color w:val="231F20"/>
        </w:rPr>
        <w:t xml:space="preserve">  </w:t>
      </w:r>
      <w:r>
        <w:rPr>
          <w:color w:val="231F20"/>
          <w:spacing w:val="9"/>
        </w:rPr>
        <w:t>建模等方面的专长，形成合力，更好评估气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候风险对整个金融体系的影响。</w:t>
      </w:r>
    </w:p>
    <w:p>
      <w:pPr>
        <w:spacing w:line="236" w:lineRule="auto"/>
        <w:sectPr>
          <w:type w:val="continuous"/>
          <w:pgSz w:w="11906" w:h="16158"/>
          <w:pgMar w:top="1367" w:right="1700" w:bottom="400" w:left="1417" w:header="1044" w:footer="0" w:gutter="0"/>
          <w:cols w:equalWidth="0" w:num="2">
            <w:col w:w="4527" w:space="100"/>
            <w:col w:w="4162" w:space="0"/>
          </w:cols>
        </w:sectPr>
        <w:rPr/>
      </w:pPr>
    </w:p>
    <w:p>
      <w:pPr>
        <w:pStyle w:val="BodyText"/>
        <w:spacing w:line="345" w:lineRule="auto"/>
        <w:rPr/>
      </w:pPr>
      <w:r/>
    </w:p>
    <w:p>
      <w:pPr>
        <w:pStyle w:val="BodyText"/>
        <w:spacing w:line="346" w:lineRule="auto"/>
        <w:rPr/>
      </w:pPr>
      <w:r/>
    </w:p>
    <w:p>
      <w:pPr>
        <w:pStyle w:val="BodyText"/>
        <w:ind w:left="90"/>
        <w:spacing w:before="164" w:line="200" w:lineRule="auto"/>
        <w:outlineLvl w:val="0"/>
        <w:rPr>
          <w:sz w:val="34"/>
          <w:szCs w:val="34"/>
        </w:rPr>
      </w:pPr>
      <w:bookmarkStart w:name="bookmark34" w:id="60"/>
      <w:bookmarkEnd w:id="60"/>
      <w:r>
        <w:rPr>
          <w:sz w:val="34"/>
          <w:szCs w:val="34"/>
          <w:color w:val="174B8B"/>
          <w:spacing w:val="-7"/>
        </w:rPr>
        <w:t>专题四    存款保险制度实施十年     有力保障金融稳定和安全</w:t>
      </w:r>
    </w:p>
    <w:p>
      <w:pPr>
        <w:spacing w:before="389"/>
        <w:rPr/>
      </w:pPr>
      <w:r/>
    </w:p>
    <w:p>
      <w:pPr>
        <w:sectPr>
          <w:headerReference w:type="default" r:id="rId360"/>
          <w:pgSz w:w="11906" w:h="16158"/>
          <w:pgMar w:top="1384" w:right="1416" w:bottom="400" w:left="1704" w:header="1061" w:footer="0" w:gutter="0"/>
          <w:cols w:equalWidth="0" w:num="1">
            <w:col w:w="8785" w:space="0"/>
          </w:cols>
        </w:sectPr>
        <w:rPr/>
      </w:pPr>
    </w:p>
    <w:p>
      <w:pPr>
        <w:pStyle w:val="BodyText"/>
        <w:ind w:left="1" w:right="356" w:firstLine="426"/>
        <w:spacing w:before="32" w:line="253" w:lineRule="auto"/>
        <w:jc w:val="both"/>
        <w:rPr/>
      </w:pPr>
      <w:r>
        <w:rPr>
          <w:color w:val="231F20"/>
          <w:spacing w:val="9"/>
        </w:rPr>
        <w:t>存款保险是保护存款人合法权益、促进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银行机构有序市场退出的重要制度安排，与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审慎监管、中央银行最后贷款人共同构成金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融安全网的三大支柱。</w:t>
      </w:r>
      <w:r>
        <w:rPr>
          <w:color w:val="231F20"/>
          <w:spacing w:val="48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"/>
        </w:rPr>
        <w:t>2015</w:t>
      </w:r>
      <w:r>
        <w:rPr>
          <w:color w:val="231F20"/>
          <w:spacing w:val="1"/>
        </w:rPr>
        <w:t>年</w:t>
      </w:r>
      <w:r>
        <w:rPr>
          <w:rFonts w:ascii="Times New Roman" w:hAnsi="Times New Roman" w:eastAsia="Times New Roman" w:cs="Times New Roman"/>
          <w:color w:val="231F20"/>
          <w:spacing w:val="1"/>
        </w:rPr>
        <w:t>5</w:t>
      </w:r>
      <w:r>
        <w:rPr>
          <w:color w:val="231F20"/>
          <w:spacing w:val="1"/>
        </w:rPr>
        <w:t>月</w:t>
      </w:r>
      <w:r>
        <w:rPr>
          <w:rFonts w:ascii="Times New Roman" w:hAnsi="Times New Roman" w:eastAsia="Times New Roman" w:cs="Times New Roman"/>
          <w:color w:val="231F20"/>
          <w:spacing w:val="1"/>
        </w:rPr>
        <w:t>1 </w:t>
      </w:r>
      <w:r>
        <w:rPr>
          <w:color w:val="231F20"/>
          <w:spacing w:val="1"/>
        </w:rPr>
        <w:t>日，《存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款保险条例》施行，我国存款保险制度正式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建立。十年来，按照党中央、国务院决策部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署，中国人民银行作为存款保险基金管理机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构认真履行存款保险职责，扎实开展制度实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施工作，存款保险防范挤兑、监测预警、早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期纠正、风险处置等核心功能日益凸显，切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实维护了全社会对银行体系的信心，有力保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障了金融稳定和安全。</w:t>
      </w:r>
    </w:p>
    <w:p>
      <w:pPr>
        <w:pStyle w:val="BodyText"/>
        <w:ind w:right="406" w:firstLine="478"/>
        <w:spacing w:before="380" w:line="181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1"/>
        </w:rPr>
        <w:t>一、存款保障水平保持高位，</w:t>
      </w:r>
      <w:r>
        <w:rPr>
          <w:sz w:val="28"/>
          <w:szCs w:val="28"/>
          <w:color w:val="174B8B"/>
          <w:spacing w:val="7"/>
        </w:rPr>
        <w:t xml:space="preserve"> </w:t>
      </w:r>
      <w:r>
        <w:rPr>
          <w:sz w:val="28"/>
          <w:szCs w:val="28"/>
          <w:color w:val="174B8B"/>
          <w:spacing w:val="-1"/>
        </w:rPr>
        <w:t>存款格局总体稳定</w:t>
      </w:r>
    </w:p>
    <w:p>
      <w:pPr>
        <w:pStyle w:val="BodyText"/>
        <w:ind w:right="356" w:firstLine="431"/>
        <w:spacing w:before="398" w:line="234" w:lineRule="auto"/>
        <w:jc w:val="both"/>
        <w:rPr/>
      </w:pPr>
      <w:r>
        <w:rPr>
          <w:color w:val="231F20"/>
          <w:spacing w:val="23"/>
        </w:rPr>
        <w:t>我国存款保险实行强制保险，覆盖境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内依法设立的商业银行、农村合作银行、农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村信用合作社等吸收存款的银行业金融机构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8"/>
        </w:rPr>
        <w:t>（以下简称投保机构）。截至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年末，全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8"/>
        </w:rPr>
        <w:t>国投保机构共计</w:t>
      </w:r>
      <w:r>
        <w:rPr>
          <w:rFonts w:ascii="Times New Roman" w:hAnsi="Times New Roman" w:eastAsia="Times New Roman" w:cs="Times New Roman"/>
          <w:color w:val="231F20"/>
          <w:spacing w:val="8"/>
        </w:rPr>
        <w:t>3761</w:t>
      </w:r>
      <w:r>
        <w:rPr>
          <w:color w:val="231F20"/>
          <w:spacing w:val="8"/>
        </w:rPr>
        <w:t>家。存款保险最高偿付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限额为人民币</w:t>
      </w:r>
      <w:r>
        <w:rPr>
          <w:rFonts w:ascii="Times New Roman" w:hAnsi="Times New Roman" w:eastAsia="Times New Roman" w:cs="Times New Roman"/>
          <w:color w:val="231F20"/>
        </w:rPr>
        <w:t>50</w:t>
      </w:r>
      <w:r>
        <w:rPr>
          <w:color w:val="231F20"/>
        </w:rPr>
        <w:t>万元，十年来始终能为</w:t>
      </w:r>
      <w:r>
        <w:rPr>
          <w:rFonts w:ascii="Times New Roman" w:hAnsi="Times New Roman" w:eastAsia="Times New Roman" w:cs="Times New Roman"/>
          <w:color w:val="231F20"/>
        </w:rPr>
        <w:t>9</w:t>
      </w:r>
      <w:r>
        <w:rPr>
          <w:rFonts w:ascii="Times New Roman" w:hAnsi="Times New Roman" w:eastAsia="Times New Roman" w:cs="Times New Roman"/>
          <w:color w:val="231F20"/>
          <w:spacing w:val="-1"/>
        </w:rPr>
        <w:t>9%</w:t>
      </w:r>
      <w:r>
        <w:rPr>
          <w:color w:val="231F20"/>
          <w:spacing w:val="-1"/>
        </w:rPr>
        <w:t>以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上的存款人提供全额保障，高于国际平均水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平。存款安全有保障的稳定预期有效增进了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firstLine="25"/>
        <w:spacing w:before="36" w:line="259" w:lineRule="auto"/>
        <w:jc w:val="both"/>
        <w:rPr/>
      </w:pPr>
      <w:r>
        <w:rPr>
          <w:color w:val="231F20"/>
          <w:spacing w:val="5"/>
        </w:rPr>
        <w:t>中小银行信用，银行业存款格局总体稳定，</w:t>
      </w:r>
      <w:r>
        <w:rPr>
          <w:color w:val="231F20"/>
          <w:spacing w:val="6"/>
        </w:rPr>
        <w:t xml:space="preserve">  </w:t>
      </w:r>
      <w:r>
        <w:rPr>
          <w:color w:val="231F20"/>
          <w:spacing w:val="17"/>
        </w:rPr>
        <w:t>中小银行存款占比持续上升。截至</w:t>
      </w:r>
      <w:r>
        <w:rPr>
          <w:rFonts w:ascii="Times New Roman" w:hAnsi="Times New Roman" w:eastAsia="Times New Roman" w:cs="Times New Roman"/>
          <w:color w:val="231F20"/>
          <w:spacing w:val="17"/>
        </w:rPr>
        <w:t>2024</w:t>
      </w:r>
      <w:r>
        <w:rPr>
          <w:rFonts w:ascii="Times New Roman" w:hAnsi="Times New Roman" w:eastAsia="Times New Roman" w:cs="Times New Roman"/>
          <w:color w:val="231F20"/>
          <w:spacing w:val="-11"/>
        </w:rPr>
        <w:t xml:space="preserve"> </w:t>
      </w:r>
      <w:r>
        <w:rPr>
          <w:color w:val="231F20"/>
          <w:spacing w:val="17"/>
        </w:rPr>
        <w:t>年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末，中小银行存款市场份额较《存款保险条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例》出台时提高了</w:t>
      </w:r>
      <w:r>
        <w:rPr>
          <w:rFonts w:ascii="Times New Roman" w:hAnsi="Times New Roman" w:eastAsia="Times New Roman" w:cs="Times New Roman"/>
          <w:color w:val="231F20"/>
          <w:spacing w:val="-2"/>
        </w:rPr>
        <w:t>2.4</w:t>
      </w:r>
      <w:r>
        <w:rPr>
          <w:color w:val="231F20"/>
          <w:spacing w:val="-2"/>
        </w:rPr>
        <w:t>个百分点。</w:t>
      </w:r>
    </w:p>
    <w:p>
      <w:pPr>
        <w:pStyle w:val="BodyText"/>
        <w:ind w:right="50" w:firstLine="476"/>
        <w:spacing w:before="399" w:line="184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-1"/>
        </w:rPr>
        <w:t>二、公众认知水平稳步提升，</w:t>
      </w:r>
      <w:r>
        <w:rPr>
          <w:sz w:val="28"/>
          <w:szCs w:val="28"/>
          <w:color w:val="174B8B"/>
          <w:spacing w:val="8"/>
        </w:rPr>
        <w:t xml:space="preserve"> </w:t>
      </w:r>
      <w:r>
        <w:rPr>
          <w:sz w:val="28"/>
          <w:szCs w:val="28"/>
          <w:color w:val="174B8B"/>
          <w:spacing w:val="-1"/>
        </w:rPr>
        <w:t>存款保险理念深入人心</w:t>
      </w:r>
    </w:p>
    <w:p>
      <w:pPr>
        <w:pStyle w:val="BodyText"/>
        <w:ind w:firstLine="435"/>
        <w:spacing w:before="359" w:line="242" w:lineRule="auto"/>
        <w:rPr/>
      </w:pPr>
      <w:r>
        <w:rPr>
          <w:color w:val="231F20"/>
          <w:spacing w:val="7"/>
        </w:rPr>
        <w:t>十年来，存款保险宣传工作扎实开展，</w:t>
      </w:r>
      <w:r>
        <w:rPr>
          <w:color w:val="231F20"/>
        </w:rPr>
        <w:t xml:space="preserve">  </w:t>
      </w:r>
      <w:r>
        <w:rPr>
          <w:color w:val="231F20"/>
          <w:spacing w:val="6"/>
        </w:rPr>
        <w:t>已经形成常态化、机制化格局。   </w:t>
      </w:r>
      <w:r>
        <w:rPr>
          <w:rFonts w:ascii="Times New Roman" w:hAnsi="Times New Roman" w:eastAsia="Times New Roman" w:cs="Times New Roman"/>
          <w:color w:val="231F20"/>
          <w:spacing w:val="6"/>
        </w:rPr>
        <w:t>2020</w:t>
      </w:r>
      <w:r>
        <w:rPr>
          <w:rFonts w:ascii="Times New Roman" w:hAnsi="Times New Roman" w:eastAsia="Times New Roman" w:cs="Times New Roman"/>
          <w:color w:val="231F20"/>
          <w:spacing w:val="-9"/>
        </w:rPr>
        <w:t xml:space="preserve"> </w:t>
      </w:r>
      <w:r>
        <w:rPr>
          <w:color w:val="231F20"/>
          <w:spacing w:val="6"/>
        </w:rPr>
        <w:t>年 </w:t>
      </w:r>
      <w:r>
        <w:rPr>
          <w:rFonts w:ascii="Times New Roman" w:hAnsi="Times New Roman" w:eastAsia="Times New Roman" w:cs="Times New Roman"/>
          <w:color w:val="231F20"/>
          <w:spacing w:val="6"/>
        </w:rPr>
        <w:t>11</w:t>
      </w:r>
      <w:r>
        <w:rPr>
          <w:rFonts w:ascii="Times New Roman" w:hAnsi="Times New Roman" w:eastAsia="Times New Roman" w:cs="Times New Roman"/>
          <w:color w:val="231F20"/>
        </w:rPr>
        <w:t xml:space="preserve"> </w:t>
      </w:r>
      <w:r>
        <w:rPr>
          <w:color w:val="231F20"/>
          <w:spacing w:val="17"/>
        </w:rPr>
        <w:t>月，存款保险标识全面启用，截至</w:t>
      </w:r>
      <w:r>
        <w:rPr>
          <w:rFonts w:ascii="Times New Roman" w:hAnsi="Times New Roman" w:eastAsia="Times New Roman" w:cs="Times New Roman"/>
          <w:color w:val="231F20"/>
          <w:spacing w:val="17"/>
        </w:rPr>
        <w:t>2024</w:t>
      </w:r>
      <w:r>
        <w:rPr>
          <w:rFonts w:ascii="Times New Roman" w:hAnsi="Times New Roman" w:eastAsia="Times New Roman" w:cs="Times New Roman"/>
          <w:color w:val="231F20"/>
          <w:spacing w:val="-11"/>
        </w:rPr>
        <w:t xml:space="preserve"> </w:t>
      </w:r>
      <w:r>
        <w:rPr>
          <w:color w:val="231F20"/>
          <w:spacing w:val="17"/>
        </w:rPr>
        <w:t>年</w:t>
      </w:r>
      <w:r>
        <w:rPr>
          <w:color w:val="231F20"/>
        </w:rPr>
        <w:t xml:space="preserve"> </w:t>
      </w:r>
      <w:r>
        <w:rPr>
          <w:color w:val="231F20"/>
          <w:spacing w:val="7"/>
        </w:rPr>
        <w:t>末，</w:t>
      </w:r>
      <w:r>
        <w:rPr>
          <w:color w:val="231F20"/>
          <w:spacing w:val="-23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7"/>
        </w:rPr>
        <w:t>3761</w:t>
      </w:r>
      <w:r>
        <w:rPr>
          <w:color w:val="231F20"/>
          <w:spacing w:val="7"/>
        </w:rPr>
        <w:t>家投保机构的营业网点均在指定位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置展示了存款保险标识。通过直观、醒目的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标识，存款人能够更加方便地识别参加存款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保险的机构，更加清晰地知晓存款受到国家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法律保障。中国人民银行在指导全国投保机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构将存款保险知识嵌入存取款业务全流程的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同时，还聚焦偏远农村、金融生态环境脆弱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等重点地区以及“一老一少”、少数民族等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重点人群，持续加大宣传力度，推动存款保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险知识进乡村、进社区、进企业、进机关、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8"/>
        </w:rPr>
        <w:t>进校园。截至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年末，各类宣传活动累计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8"/>
        </w:rPr>
        <w:t>覆盖</w:t>
      </w:r>
      <w:r>
        <w:rPr>
          <w:rFonts w:ascii="Times New Roman" w:hAnsi="Times New Roman" w:eastAsia="Times New Roman" w:cs="Times New Roman"/>
          <w:color w:val="231F20"/>
          <w:spacing w:val="8"/>
        </w:rPr>
        <w:t>14</w:t>
      </w:r>
      <w:r>
        <w:rPr>
          <w:color w:val="231F20"/>
          <w:spacing w:val="8"/>
        </w:rPr>
        <w:t>亿人次，公众认知水平稳步提升，有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效降低了发生银行挤兑风险的可能性。</w:t>
      </w:r>
    </w:p>
    <w:p>
      <w:pPr>
        <w:spacing w:line="242" w:lineRule="auto"/>
        <w:sectPr>
          <w:type w:val="continuous"/>
          <w:pgSz w:w="11906" w:h="16158"/>
          <w:pgMar w:top="1384" w:right="1416" w:bottom="400" w:left="1704" w:header="1061" w:footer="0" w:gutter="0"/>
          <w:cols w:equalWidth="0" w:num="2">
            <w:col w:w="4521" w:space="100"/>
            <w:col w:w="4164" w:space="0"/>
          </w:cols>
        </w:sectPr>
        <w:rPr/>
      </w:pPr>
    </w:p>
    <w:p>
      <w:pPr>
        <w:spacing w:before="160"/>
        <w:rPr/>
      </w:pPr>
      <w:r/>
    </w:p>
    <w:p>
      <w:pPr>
        <w:sectPr>
          <w:headerReference w:type="default" r:id="rId361"/>
          <w:pgSz w:w="11906" w:h="16158"/>
          <w:pgMar w:top="1367" w:right="1595" w:bottom="400" w:left="1417" w:header="1044" w:footer="0" w:gutter="0"/>
          <w:cols w:equalWidth="0" w:num="1">
            <w:col w:w="8894" w:space="0"/>
          </w:cols>
        </w:sectPr>
        <w:rPr/>
      </w:pPr>
    </w:p>
    <w:p>
      <w:pPr>
        <w:pStyle w:val="BodyText"/>
        <w:ind w:left="16" w:right="357" w:firstLine="469"/>
        <w:spacing w:before="59" w:line="184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3"/>
        </w:rPr>
        <w:t>三、实施风险差别费率，发挥</w:t>
      </w:r>
      <w:r>
        <w:rPr>
          <w:sz w:val="28"/>
          <w:szCs w:val="28"/>
          <w:color w:val="174B8B"/>
          <w:spacing w:val="1"/>
        </w:rPr>
        <w:t xml:space="preserve"> </w:t>
      </w:r>
      <w:r>
        <w:rPr>
          <w:sz w:val="28"/>
          <w:szCs w:val="28"/>
          <w:color w:val="174B8B"/>
          <w:spacing w:val="-2"/>
        </w:rPr>
        <w:t>市场激励约束作用</w:t>
      </w:r>
    </w:p>
    <w:p>
      <w:pPr>
        <w:pStyle w:val="BodyText"/>
        <w:ind w:left="4" w:right="357" w:firstLine="427"/>
        <w:spacing w:before="371" w:line="252" w:lineRule="auto"/>
        <w:rPr/>
      </w:pPr>
      <w:r>
        <w:rPr>
          <w:color w:val="231F20"/>
          <w:spacing w:val="8"/>
        </w:rPr>
        <w:t>存款保险制度</w:t>
      </w:r>
      <w:r>
        <w:rPr>
          <w:rFonts w:ascii="Times New Roman" w:hAnsi="Times New Roman" w:eastAsia="Times New Roman" w:cs="Times New Roman"/>
          <w:color w:val="231F20"/>
          <w:spacing w:val="8"/>
        </w:rPr>
        <w:t>2015</w:t>
      </w:r>
      <w:r>
        <w:rPr>
          <w:color w:val="231F20"/>
          <w:spacing w:val="8"/>
        </w:rPr>
        <w:t>年建立之初采取单一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5"/>
        </w:rPr>
        <w:t>费率机制， </w:t>
      </w:r>
      <w:r>
        <w:rPr>
          <w:rFonts w:ascii="Times New Roman" w:hAnsi="Times New Roman" w:eastAsia="Times New Roman" w:cs="Times New Roman"/>
          <w:color w:val="231F20"/>
          <w:spacing w:val="5"/>
        </w:rPr>
        <w:t>2016</w:t>
      </w:r>
      <w:r>
        <w:rPr>
          <w:color w:val="231F20"/>
          <w:spacing w:val="5"/>
        </w:rPr>
        <w:t>年平稳过渡到风险差别费率</w:t>
      </w:r>
      <w:r>
        <w:rPr>
          <w:color w:val="231F20"/>
          <w:spacing w:val="13"/>
          <w:w w:val="102"/>
        </w:rPr>
        <w:t xml:space="preserve"> </w:t>
      </w:r>
      <w:r>
        <w:rPr>
          <w:color w:val="231F20"/>
          <w:spacing w:val="9"/>
        </w:rPr>
        <w:t>机制，从资本充足情况、资产质量、盈利能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力、流动性状况、公司治理、风险管理水平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等方面判断投保机构整体风险水平，对风险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较高的机构适用较高费率，反之适用较低费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7"/>
        </w:rPr>
        <w:t>率，“奖优罚劣”促进投保机构审慎经营。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21"/>
        </w:rPr>
        <w:t>风险差别费率有助于降低单一费率机制下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“低风险银行补贴高风险银行”形成的道德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风险，体现保费征收的公平性。从实际情况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看，存款保险风险差别费率较好地反映了投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保机构的真实风险状况，在支持利率市场化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改革、促进投保机构公平竞争和稳健发展等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方面发挥了积极作用。</w:t>
      </w:r>
    </w:p>
    <w:p>
      <w:pPr>
        <w:pStyle w:val="BodyText"/>
        <w:ind w:left="14" w:right="358" w:firstLine="483"/>
        <w:spacing w:before="404" w:line="185" w:lineRule="auto"/>
        <w:rPr>
          <w:sz w:val="28"/>
          <w:szCs w:val="28"/>
        </w:rPr>
      </w:pPr>
      <w:r>
        <w:rPr>
          <w:sz w:val="28"/>
          <w:szCs w:val="28"/>
          <w:color w:val="174B8B"/>
          <w:spacing w:val="25"/>
        </w:rPr>
        <w:t>四、强化风险识别和早期纠</w:t>
      </w:r>
      <w:r>
        <w:rPr>
          <w:sz w:val="28"/>
          <w:szCs w:val="28"/>
          <w:color w:val="174B8B"/>
          <w:spacing w:val="8"/>
        </w:rPr>
        <w:t xml:space="preserve"> </w:t>
      </w:r>
      <w:r>
        <w:rPr>
          <w:sz w:val="28"/>
          <w:szCs w:val="28"/>
          <w:color w:val="174B8B"/>
          <w:spacing w:val="-2"/>
        </w:rPr>
        <w:t>正，推动形成风险化解合力</w:t>
      </w:r>
    </w:p>
    <w:p>
      <w:pPr>
        <w:pStyle w:val="BodyText"/>
        <w:ind w:left="5" w:right="253" w:firstLine="429"/>
        <w:spacing w:before="365" w:line="236" w:lineRule="auto"/>
        <w:jc w:val="both"/>
        <w:rPr/>
      </w:pPr>
      <w:r>
        <w:rPr>
          <w:color w:val="231F20"/>
          <w:spacing w:val="15"/>
        </w:rPr>
        <w:t>我国存款保险制度采取“风险最小化”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9"/>
        </w:rPr>
        <w:t>职能模式，通过事前对风险的约束来降低事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后的处置成本。处置前，存款保险基金管理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机构可采取风险警示、早期纠正等措施，还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可建议金融监管部门启动处置；处置中，可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担任接管组，采取存款偿付、收购承接等处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置措施。十年来，存款保险基金管理机构持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续完善风险识别、评估和预警指标体系，提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升风险监测的前瞻性和敏感性，并借助现场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right="105" w:firstLine="5"/>
        <w:spacing w:before="46" w:line="254" w:lineRule="auto"/>
        <w:rPr/>
      </w:pPr>
      <w:r>
        <w:rPr>
          <w:color w:val="231F20"/>
          <w:spacing w:val="7"/>
        </w:rPr>
        <w:t>核查等手段进一步摸清投保机构风险底数。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8"/>
        </w:rPr>
        <w:t>自</w:t>
      </w:r>
      <w:r>
        <w:rPr>
          <w:rFonts w:ascii="Times New Roman" w:hAnsi="Times New Roman" w:eastAsia="Times New Roman" w:cs="Times New Roman"/>
          <w:color w:val="231F20"/>
          <w:spacing w:val="8"/>
        </w:rPr>
        <w:t>2017</w:t>
      </w:r>
      <w:r>
        <w:rPr>
          <w:color w:val="231F20"/>
          <w:spacing w:val="8"/>
        </w:rPr>
        <w:t>年起依法探索开展早期纠正，督促投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7"/>
        </w:rPr>
        <w:t>保机构综合采取补充资本、控制资产增长、</w:t>
      </w:r>
      <w:r>
        <w:rPr>
          <w:color w:val="231F20"/>
          <w:spacing w:val="1"/>
        </w:rPr>
        <w:t xml:space="preserve">  </w:t>
      </w:r>
      <w:r>
        <w:rPr>
          <w:color w:val="231F20"/>
          <w:spacing w:val="9"/>
        </w:rPr>
        <w:t>控制重大交易授信、降低杠杆率等措施压降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风险，并适时将风险问题通报金融监管部门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和地方政府，形成协同化险的工作合力。截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8"/>
        </w:rPr>
        <w:t>至</w:t>
      </w:r>
      <w:r>
        <w:rPr>
          <w:rFonts w:ascii="Times New Roman" w:hAnsi="Times New Roman" w:eastAsia="Times New Roman" w:cs="Times New Roman"/>
          <w:color w:val="231F20"/>
          <w:spacing w:val="8"/>
        </w:rPr>
        <w:t>2024</w:t>
      </w:r>
      <w:r>
        <w:rPr>
          <w:color w:val="231F20"/>
          <w:spacing w:val="8"/>
        </w:rPr>
        <w:t>年末，存款保险累计对数百家投保机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构开展了早期纠正，推动风险及早化解。</w:t>
      </w:r>
    </w:p>
    <w:p>
      <w:pPr>
        <w:pStyle w:val="BodyText"/>
        <w:ind w:left="10" w:right="105" w:firstLine="463"/>
        <w:spacing w:before="402" w:line="173" w:lineRule="auto"/>
        <w:jc w:val="both"/>
        <w:rPr>
          <w:sz w:val="28"/>
          <w:szCs w:val="28"/>
        </w:rPr>
      </w:pPr>
      <w:r>
        <w:rPr>
          <w:sz w:val="28"/>
          <w:szCs w:val="28"/>
          <w:color w:val="174B8B"/>
          <w:spacing w:val="27"/>
        </w:rPr>
        <w:t>五、发挥专业化风险处置功</w:t>
      </w:r>
      <w:r>
        <w:rPr>
          <w:sz w:val="28"/>
          <w:szCs w:val="28"/>
          <w:color w:val="174B8B"/>
          <w:spacing w:val="2"/>
        </w:rPr>
        <w:t xml:space="preserve"> </w:t>
      </w:r>
      <w:r>
        <w:rPr>
          <w:sz w:val="28"/>
          <w:szCs w:val="28"/>
          <w:color w:val="174B8B"/>
          <w:spacing w:val="16"/>
        </w:rPr>
        <w:t>能，推动完善市场化、法治化处</w:t>
      </w:r>
      <w:r>
        <w:rPr>
          <w:sz w:val="28"/>
          <w:szCs w:val="28"/>
          <w:color w:val="174B8B"/>
          <w:spacing w:val="7"/>
        </w:rPr>
        <w:t xml:space="preserve"> </w:t>
      </w:r>
      <w:r>
        <w:rPr>
          <w:sz w:val="28"/>
          <w:szCs w:val="28"/>
          <w:color w:val="174B8B"/>
          <w:spacing w:val="-4"/>
        </w:rPr>
        <w:t>置机制</w:t>
      </w:r>
    </w:p>
    <w:p>
      <w:pPr>
        <w:pStyle w:val="BodyText"/>
        <w:ind w:right="105" w:firstLine="426"/>
        <w:spacing w:before="415" w:line="249" w:lineRule="auto"/>
        <w:rPr/>
      </w:pPr>
      <w:r>
        <w:rPr>
          <w:color w:val="231F20"/>
          <w:spacing w:val="23"/>
        </w:rPr>
        <w:t>存款保险制度实施以来，存款保险基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7"/>
        </w:rPr>
        <w:t>金专户已累计归集</w:t>
      </w:r>
      <w:r>
        <w:rPr>
          <w:rFonts w:ascii="Times New Roman" w:hAnsi="Times New Roman" w:eastAsia="Times New Roman" w:cs="Times New Roman"/>
          <w:color w:val="231F20"/>
          <w:spacing w:val="7"/>
        </w:rPr>
        <w:t>20</w:t>
      </w:r>
      <w:r>
        <w:rPr>
          <w:color w:val="231F20"/>
          <w:spacing w:val="7"/>
        </w:rPr>
        <w:t>期保费，共计约</w:t>
      </w:r>
      <w:r>
        <w:rPr>
          <w:rFonts w:ascii="Times New Roman" w:hAnsi="Times New Roman" w:eastAsia="Times New Roman" w:cs="Times New Roman"/>
          <w:color w:val="231F20"/>
          <w:spacing w:val="7"/>
        </w:rPr>
        <w:t>4000</w:t>
      </w:r>
      <w:r>
        <w:rPr>
          <w:color w:val="231F20"/>
          <w:spacing w:val="7"/>
        </w:rPr>
        <w:t>亿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7"/>
        </w:rPr>
        <w:t>元，为防范化解金融风险提供了有力支持。</w:t>
      </w:r>
      <w:r>
        <w:rPr>
          <w:color w:val="231F20"/>
          <w:spacing w:val="4"/>
        </w:rPr>
        <w:t xml:space="preserve">  </w:t>
      </w:r>
      <w:r>
        <w:rPr>
          <w:color w:val="231F20"/>
          <w:spacing w:val="6"/>
        </w:rPr>
        <w:t>自</w:t>
      </w:r>
      <w:r>
        <w:rPr>
          <w:rFonts w:ascii="Times New Roman" w:hAnsi="Times New Roman" w:eastAsia="Times New Roman" w:cs="Times New Roman"/>
          <w:color w:val="231F20"/>
          <w:spacing w:val="6"/>
        </w:rPr>
        <w:t>2019</w:t>
      </w:r>
      <w:r>
        <w:rPr>
          <w:color w:val="231F20"/>
          <w:spacing w:val="6"/>
        </w:rPr>
        <w:t>年起，存款保险相继参与包商银行、</w:t>
      </w:r>
      <w:r>
        <w:rPr>
          <w:color w:val="231F20"/>
          <w:spacing w:val="3"/>
        </w:rPr>
        <w:t xml:space="preserve">  </w:t>
      </w:r>
      <w:r>
        <w:rPr>
          <w:color w:val="231F20"/>
          <w:spacing w:val="9"/>
        </w:rPr>
        <w:t>辽宁省部分城商行、辽阳农商行等机构的风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险化解，体现了市场化、法治化、专业化处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置职能优势。特别是在存款保险的深度参与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下，包商银行风险处置成为新中国成立以来</w:t>
      </w:r>
      <w:r>
        <w:rPr>
          <w:color w:val="231F20"/>
        </w:rPr>
        <w:t xml:space="preserve"> </w:t>
      </w:r>
      <w:r>
        <w:rPr>
          <w:color w:val="231F20"/>
          <w:spacing w:val="13"/>
        </w:rPr>
        <w:t>第一例银行通过“接管</w:t>
      </w:r>
      <w:r>
        <w:rPr>
          <w:color w:val="231F20"/>
          <w:spacing w:val="-22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3"/>
        </w:rPr>
        <w:t>+</w:t>
      </w:r>
      <w:r>
        <w:rPr>
          <w:rFonts w:ascii="Times New Roman" w:hAnsi="Times New Roman" w:eastAsia="Times New Roman" w:cs="Times New Roman"/>
          <w:color w:val="231F20"/>
          <w:spacing w:val="-19"/>
        </w:rPr>
        <w:t xml:space="preserve"> </w:t>
      </w:r>
      <w:r>
        <w:rPr>
          <w:color w:val="231F20"/>
          <w:spacing w:val="13"/>
        </w:rPr>
        <w:t>收购承接</w:t>
      </w:r>
      <w:r>
        <w:rPr>
          <w:color w:val="231F20"/>
          <w:spacing w:val="-24"/>
        </w:rPr>
        <w:t xml:space="preserve"> </w:t>
      </w:r>
      <w:r>
        <w:rPr>
          <w:rFonts w:ascii="Times New Roman" w:hAnsi="Times New Roman" w:eastAsia="Times New Roman" w:cs="Times New Roman"/>
          <w:color w:val="231F20"/>
          <w:spacing w:val="13"/>
        </w:rPr>
        <w:t>+</w:t>
      </w:r>
      <w:r>
        <w:rPr>
          <w:rFonts w:ascii="Times New Roman" w:hAnsi="Times New Roman" w:eastAsia="Times New Roman" w:cs="Times New Roman"/>
          <w:color w:val="231F20"/>
          <w:spacing w:val="-28"/>
        </w:rPr>
        <w:t xml:space="preserve"> </w:t>
      </w:r>
      <w:r>
        <w:rPr>
          <w:color w:val="231F20"/>
          <w:spacing w:val="13"/>
        </w:rPr>
        <w:t>破产清</w:t>
      </w:r>
      <w:r>
        <w:rPr>
          <w:color w:val="231F20"/>
        </w:rPr>
        <w:t xml:space="preserve"> </w:t>
      </w:r>
      <w:r>
        <w:rPr>
          <w:color w:val="231F20"/>
          <w:spacing w:val="21"/>
        </w:rPr>
        <w:t>算”方式退出市场的成功案例，在此过程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中，既最大程度地保障了存款人权益，又严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肃了市场纪律、防范了道德风险，还保持了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相关业务的连续性，有效维护了金融稳定。</w:t>
      </w:r>
    </w:p>
    <w:p>
      <w:pPr>
        <w:pStyle w:val="BodyText"/>
        <w:ind w:firstLine="434"/>
        <w:spacing w:before="2" w:line="218" w:lineRule="auto"/>
        <w:jc w:val="both"/>
        <w:rPr/>
      </w:pPr>
      <w:r>
        <w:rPr>
          <w:color w:val="231F20"/>
          <w:spacing w:val="9"/>
        </w:rPr>
        <w:t>十年实践证明，我国存款保险的制度设</w:t>
      </w:r>
      <w:r>
        <w:rPr>
          <w:color w:val="231F20"/>
          <w:spacing w:val="1"/>
        </w:rPr>
        <w:t xml:space="preserve">   </w:t>
      </w:r>
      <w:r>
        <w:rPr>
          <w:color w:val="231F20"/>
          <w:spacing w:val="9"/>
        </w:rPr>
        <w:t>计是有效的，制度实施和运行是成功的，必</w:t>
      </w:r>
      <w:r>
        <w:rPr>
          <w:color w:val="231F20"/>
        </w:rPr>
        <w:t xml:space="preserve">   </w:t>
      </w:r>
      <w:r>
        <w:rPr>
          <w:color w:val="231F20"/>
          <w:spacing w:val="9"/>
        </w:rPr>
        <w:t>须坚持“存保为民”的理念，必须坚持贯穿</w:t>
      </w:r>
      <w:r>
        <w:rPr>
          <w:color w:val="231F20"/>
        </w:rPr>
        <w:t xml:space="preserve">   </w:t>
      </w:r>
      <w:r>
        <w:rPr>
          <w:color w:val="231F20"/>
          <w:spacing w:val="14"/>
        </w:rPr>
        <w:t>金融风险防范化解全过程的“风险最小化”</w:t>
      </w:r>
    </w:p>
    <w:p>
      <w:pPr>
        <w:spacing w:line="218" w:lineRule="auto"/>
        <w:sectPr>
          <w:type w:val="continuous"/>
          <w:pgSz w:w="11906" w:h="16158"/>
          <w:pgMar w:top="1367" w:right="1595" w:bottom="400" w:left="1417" w:header="1044" w:footer="0" w:gutter="0"/>
          <w:cols w:equalWidth="0" w:num="2">
            <w:col w:w="4525" w:space="100"/>
            <w:col w:w="4269" w:space="0"/>
          </w:cols>
        </w:sectPr>
        <w:rPr/>
      </w:pPr>
    </w:p>
    <w:p>
      <w:pPr>
        <w:spacing w:before="155"/>
        <w:rPr/>
      </w:pPr>
      <w:r/>
    </w:p>
    <w:p>
      <w:pPr>
        <w:sectPr>
          <w:headerReference w:type="default" r:id="rId362"/>
          <w:pgSz w:w="11906" w:h="16158"/>
          <w:pgMar w:top="1384" w:right="1416" w:bottom="400" w:left="1704" w:header="1061" w:footer="0" w:gutter="0"/>
          <w:cols w:equalWidth="0" w:num="1">
            <w:col w:w="8784" w:space="0"/>
          </w:cols>
        </w:sectPr>
        <w:rPr/>
      </w:pPr>
    </w:p>
    <w:p>
      <w:pPr>
        <w:pStyle w:val="BodyText"/>
        <w:ind w:right="356"/>
        <w:spacing w:before="38" w:line="229" w:lineRule="auto"/>
        <w:jc w:val="both"/>
        <w:rPr/>
      </w:pPr>
      <w:r>
        <w:rPr>
          <w:color w:val="231F20"/>
          <w:spacing w:val="9"/>
        </w:rPr>
        <w:t>模式，必须坚持市场化、法治化、专业化金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9"/>
        </w:rPr>
        <w:t>融风险处置机制定位，依法保护存款人合法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权益并切实防范道德风险。党的二十届三中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全会、中央金融工作会议都对提高存款保险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履职效能提出了明确要求。中国人民银行将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按照党中央、国务院决策部署，进一步推动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ind w:left="1" w:hanging="1"/>
        <w:spacing w:before="41" w:line="256" w:lineRule="auto"/>
        <w:jc w:val="both"/>
        <w:rPr/>
      </w:pPr>
      <w:r>
        <w:rPr>
          <w:color w:val="231F20"/>
          <w:spacing w:val="9"/>
        </w:rPr>
        <w:t>健全存款保险法律体系，完善机制安排，强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9"/>
        </w:rPr>
        <w:t>化存款保险早期纠正硬约束，丰富金融风险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处置工具，推动扩大存款保险基金积累，建</w:t>
      </w:r>
      <w:r>
        <w:rPr>
          <w:color w:val="231F20"/>
        </w:rPr>
        <w:t xml:space="preserve"> </w:t>
      </w:r>
      <w:r>
        <w:rPr>
          <w:color w:val="231F20"/>
          <w:spacing w:val="9"/>
        </w:rPr>
        <w:t>立健全后备融资机制，守护好老百姓的“钱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袋子”，促进金融安全网更加强健和稳固。</w:t>
      </w:r>
    </w:p>
    <w:p>
      <w:pPr>
        <w:spacing w:line="256" w:lineRule="auto"/>
        <w:sectPr>
          <w:type w:val="continuous"/>
          <w:pgSz w:w="11906" w:h="16158"/>
          <w:pgMar w:top="1384" w:right="1416" w:bottom="400" w:left="1704" w:header="1061" w:footer="0" w:gutter="0"/>
          <w:cols w:equalWidth="0" w:num="2">
            <w:col w:w="4520" w:space="100"/>
            <w:col w:w="4165" w:space="0"/>
          </w:cols>
        </w:sectPr>
        <w:rPr/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pStyle w:val="BodyText"/>
        <w:ind w:left="8158"/>
        <w:spacing w:before="336" w:line="344" w:lineRule="exact"/>
        <w:rPr>
          <w:rFonts w:ascii="DejaVu Sans" w:hAnsi="DejaVu Sans" w:eastAsia="DejaVu Sans" w:cs="DejaVu Sans"/>
          <w:sz w:val="29"/>
          <w:szCs w:val="29"/>
        </w:rPr>
      </w:pPr>
      <w:r>
        <w:drawing>
          <wp:anchor distT="0" distB="0" distL="0" distR="0" simplePos="0" relativeHeight="252576768" behindDoc="0" locked="0" layoutInCell="0" allowOverlap="1">
            <wp:simplePos x="0" y="0"/>
            <wp:positionH relativeFrom="page">
              <wp:posOffset>4791060</wp:posOffset>
            </wp:positionH>
            <wp:positionV relativeFrom="page">
              <wp:posOffset>449999</wp:posOffset>
            </wp:positionV>
            <wp:extent cx="337500" cy="292349"/>
            <wp:effectExtent l="0" t="0" r="0" b="0"/>
            <wp:wrapNone/>
            <wp:docPr id="706" name="IM 706"/>
            <wp:cNvGraphicFramePr/>
            <a:graphic>
              <a:graphicData uri="http://schemas.openxmlformats.org/drawingml/2006/picture">
                <pic:pic>
                  <pic:nvPicPr>
                    <pic:cNvPr id="706" name="IM 70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7500" cy="2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9"/>
          <w:szCs w:val="29"/>
          <w:color w:val="174B8B"/>
          <w:spacing w:val="-6"/>
          <w:position w:val="3"/>
        </w:rPr>
        <w:t>中国金融稳定报告</w:t>
      </w:r>
      <w:r>
        <w:rPr>
          <w:sz w:val="29"/>
          <w:szCs w:val="29"/>
          <w:color w:val="174B8B"/>
          <w:spacing w:val="-6"/>
          <w:position w:val="3"/>
        </w:rPr>
        <w:t xml:space="preserve"> </w:t>
      </w:r>
      <w:r>
        <w:rPr>
          <w:rFonts w:ascii="DejaVu Sans" w:hAnsi="DejaVu Sans" w:eastAsia="DejaVu Sans" w:cs="DejaVu Sans"/>
          <w:sz w:val="29"/>
          <w:szCs w:val="29"/>
          <w:color w:val="174B8B"/>
          <w:spacing w:val="-6"/>
          <w:position w:val="-6"/>
        </w:rPr>
        <w:t>2025</w:t>
      </w:r>
    </w:p>
    <w:p>
      <w:pPr>
        <w:ind w:left="8164"/>
        <w:spacing w:line="221" w:lineRule="auto"/>
        <w:rPr>
          <w:rFonts w:ascii="DejaVu Sans" w:hAnsi="DejaVu Sans" w:eastAsia="DejaVu Sans" w:cs="DejaVu Sans"/>
          <w:sz w:val="14"/>
          <w:szCs w:val="14"/>
        </w:rPr>
      </w:pP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china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29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4"/>
        </w:rPr>
        <w:t>Financial</w:t>
      </w:r>
      <w:r>
        <w:rPr>
          <w:rFonts w:ascii="DejaVu Sans" w:hAnsi="DejaVu Sans" w:eastAsia="DejaVu Sans" w:cs="DejaVu Sans"/>
          <w:sz w:val="14"/>
          <w:szCs w:val="14"/>
          <w:color w:val="164B8B"/>
          <w:spacing w:val="21"/>
          <w:w w:val="101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stability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 xml:space="preserve"> </w:t>
      </w:r>
      <w:r>
        <w:rPr>
          <w:rFonts w:ascii="DejaVu Sans" w:hAnsi="DejaVu Sans" w:eastAsia="DejaVu Sans" w:cs="DejaVu Sans"/>
          <w:sz w:val="14"/>
          <w:szCs w:val="14"/>
          <w:color w:val="174B8B"/>
          <w:spacing w:val="4"/>
        </w:rPr>
        <w:t>Report</w:t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ind w:left="5635"/>
        <w:spacing w:before="347" w:line="176" w:lineRule="auto"/>
        <w:rPr>
          <w:sz w:val="72"/>
          <w:szCs w:val="72"/>
        </w:rPr>
      </w:pPr>
      <w:r>
        <w:rPr>
          <w:sz w:val="72"/>
          <w:szCs w:val="72"/>
          <w:color w:val="174B8B"/>
          <w:spacing w:val="-16"/>
        </w:rPr>
        <w:t>附录</w:t>
      </w:r>
    </w:p>
    <w:p>
      <w:pPr>
        <w:pStyle w:val="BodyText"/>
        <w:ind w:left="4801"/>
        <w:spacing w:before="2" w:line="182" w:lineRule="auto"/>
        <w:rPr>
          <w:sz w:val="76"/>
          <w:szCs w:val="76"/>
        </w:rPr>
      </w:pPr>
      <w:r>
        <w:rPr>
          <w:sz w:val="76"/>
          <w:szCs w:val="76"/>
          <w:color w:val="174B8B"/>
          <w:spacing w:val="-6"/>
        </w:rPr>
        <w:t>统计资料</w:t>
      </w:r>
    </w:p>
    <w:p>
      <w:pPr>
        <w:spacing w:line="182" w:lineRule="auto"/>
        <w:sectPr>
          <w:headerReference w:type="default" r:id="rId363"/>
          <w:pgSz w:w="11906" w:h="16158"/>
          <w:pgMar w:top="400" w:right="0" w:bottom="400" w:left="0" w:header="0" w:footer="0" w:gutter="0"/>
        </w:sectPr>
        <w:rPr>
          <w:sz w:val="76"/>
          <w:szCs w:val="76"/>
        </w:rPr>
      </w:pPr>
    </w:p>
    <w:p>
      <w:pPr>
        <w:pStyle w:val="BodyText"/>
        <w:rPr/>
      </w:pPr>
      <w:r/>
    </w:p>
    <w:p>
      <w:pPr>
        <w:sectPr>
          <w:headerReference w:type="default" r:id="rId5"/>
          <w:pgSz w:w="11906" w:h="16158"/>
          <w:pgMar w:top="0" w:right="0" w:bottom="0" w:left="0" w:header="0" w:footer="0" w:gutter="0"/>
        </w:sectPr>
        <w:rPr/>
      </w:pPr>
    </w:p>
    <w:p>
      <w:pPr>
        <w:pStyle w:val="BodyText"/>
        <w:spacing w:line="284" w:lineRule="auto"/>
        <w:rPr/>
      </w:pPr>
      <w:r/>
    </w:p>
    <w:p>
      <w:pPr>
        <w:pStyle w:val="BodyText"/>
        <w:ind w:left="429"/>
        <w:spacing w:before="102" w:line="208" w:lineRule="auto"/>
        <w:rPr/>
      </w:pPr>
      <w:r>
        <w:rPr>
          <w:color w:val="174B8B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</w:rPr>
        <w:t>1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                    </w:t>
      </w:r>
      <w:r>
        <w:rPr>
          <w:color w:val="174B8B"/>
          <w:spacing w:val="-1"/>
        </w:rPr>
        <w:t>主要宏观经济指标</w:t>
      </w:r>
    </w:p>
    <w:p>
      <w:pPr>
        <w:spacing w:line="123" w:lineRule="exact"/>
        <w:rPr/>
      </w:pPr>
      <w:r/>
    </w:p>
    <w:tbl>
      <w:tblPr>
        <w:tblStyle w:val="TableNormal"/>
        <w:tblW w:w="8765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396"/>
        <w:gridCol w:w="1206"/>
        <w:gridCol w:w="996"/>
        <w:gridCol w:w="1039"/>
        <w:gridCol w:w="1089"/>
        <w:gridCol w:w="1039"/>
      </w:tblGrid>
      <w:tr>
        <w:trPr>
          <w:trHeight w:val="362" w:hRule="atLeast"/>
        </w:trPr>
        <w:tc>
          <w:tcPr>
            <w:tcW w:w="3396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429"/>
              <w:spacing w:before="93" w:line="172" w:lineRule="auto"/>
              <w:rPr/>
            </w:pPr>
            <w:r>
              <w:drawing>
                <wp:anchor distT="0" distB="0" distL="0" distR="0" simplePos="0" relativeHeight="2525952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-6217</wp:posOffset>
                  </wp:positionV>
                  <wp:extent cx="4906365" cy="6864300"/>
                  <wp:effectExtent l="0" t="0" r="0" b="0"/>
                  <wp:wrapNone/>
                  <wp:docPr id="708" name="IM 7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8" name="IM 708"/>
                          <pic:cNvPicPr/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906365" cy="686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206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521"/>
              <w:spacing w:before="85" w:line="185" w:lineRule="auto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996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54"/>
              <w:spacing w:before="85" w:line="185" w:lineRule="auto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tcW w:w="103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96"/>
              <w:spacing w:before="85" w:line="185" w:lineRule="auto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108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96"/>
              <w:spacing w:before="85" w:line="185" w:lineRule="auto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tcW w:w="103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46"/>
              <w:spacing w:before="85" w:line="185" w:lineRule="auto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</w:tr>
      <w:tr>
        <w:trPr>
          <w:trHeight w:val="361" w:hRule="atLeast"/>
        </w:trPr>
        <w:tc>
          <w:tcPr>
            <w:tcW w:w="339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8"/>
              <w:spacing w:before="87" w:line="178" w:lineRule="auto"/>
              <w:rPr/>
            </w:pPr>
            <w:r>
              <w:rPr>
                <w:color w:val="231F20"/>
                <w:spacing w:val="-2"/>
              </w:rPr>
              <w:t>国内生产总值（亿元）</w:t>
            </w:r>
          </w:p>
        </w:tc>
        <w:tc>
          <w:tcPr>
            <w:tcW w:w="120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61"/>
              <w:spacing w:before="86" w:line="183" w:lineRule="auto"/>
              <w:rPr/>
            </w:pPr>
            <w:r>
              <w:rPr>
                <w:color w:val="231F20"/>
                <w:spacing w:val="-11"/>
              </w:rPr>
              <w:t>1034867.6</w:t>
            </w:r>
          </w:p>
        </w:tc>
        <w:tc>
          <w:tcPr>
            <w:tcW w:w="99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09"/>
              <w:spacing w:before="86" w:line="183" w:lineRule="auto"/>
              <w:rPr/>
            </w:pPr>
            <w:r>
              <w:rPr>
                <w:color w:val="231F20"/>
                <w:spacing w:val="-11"/>
              </w:rPr>
              <w:t>1173823.0</w:t>
            </w:r>
          </w:p>
        </w:tc>
        <w:tc>
          <w:tcPr>
            <w:tcW w:w="103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52"/>
              <w:spacing w:before="86" w:line="183" w:lineRule="auto"/>
              <w:rPr/>
            </w:pPr>
            <w:r>
              <w:rPr>
                <w:color w:val="231F20"/>
                <w:spacing w:val="-11"/>
              </w:rPr>
              <w:t>1234029.4</w:t>
            </w:r>
          </w:p>
        </w:tc>
        <w:tc>
          <w:tcPr>
            <w:tcW w:w="108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52"/>
              <w:spacing w:before="86" w:line="183" w:lineRule="auto"/>
              <w:rPr/>
            </w:pPr>
            <w:r>
              <w:rPr>
                <w:color w:val="231F20"/>
                <w:spacing w:val="-11"/>
              </w:rPr>
              <w:t>1294271.7</w:t>
            </w:r>
          </w:p>
        </w:tc>
        <w:tc>
          <w:tcPr>
            <w:tcW w:w="103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01"/>
              <w:spacing w:before="86" w:line="183" w:lineRule="auto"/>
              <w:rPr/>
            </w:pPr>
            <w:r>
              <w:rPr>
                <w:color w:val="231F20"/>
                <w:spacing w:val="-11"/>
              </w:rPr>
              <w:t>1349083.5</w:t>
            </w:r>
          </w:p>
        </w:tc>
      </w:tr>
      <w:tr>
        <w:trPr>
          <w:trHeight w:val="558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237"/>
              <w:spacing w:before="99" w:line="178" w:lineRule="auto"/>
              <w:rPr/>
            </w:pPr>
            <w:r>
              <w:rPr>
                <w:color w:val="231F20"/>
              </w:rPr>
              <w:t>工业增加值（亿元）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439"/>
              <w:spacing w:before="98" w:line="209" w:lineRule="auto"/>
              <w:rPr/>
            </w:pPr>
            <w:r>
              <w:rPr>
                <w:color w:val="231F20"/>
                <w:spacing w:val="-10"/>
              </w:rPr>
              <w:t>311231.2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7"/>
              <w:spacing w:before="98" w:line="209" w:lineRule="auto"/>
              <w:rPr/>
            </w:pPr>
            <w:r>
              <w:rPr>
                <w:color w:val="231F20"/>
                <w:spacing w:val="-10"/>
              </w:rPr>
              <w:t>369903.7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9"/>
              <w:spacing w:before="98" w:line="209" w:lineRule="auto"/>
              <w:rPr/>
            </w:pPr>
            <w:r>
              <w:rPr>
                <w:color w:val="231F20"/>
                <w:spacing w:val="-10"/>
              </w:rPr>
              <w:t>388651.6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229"/>
              <w:spacing w:before="98" w:line="209" w:lineRule="auto"/>
              <w:rPr/>
            </w:pPr>
            <w:r>
              <w:rPr>
                <w:color w:val="231F20"/>
                <w:spacing w:val="-10"/>
              </w:rPr>
              <w:t>392183.0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3"/>
              <w:spacing w:before="98" w:line="209" w:lineRule="auto"/>
              <w:rPr/>
            </w:pPr>
            <w:r>
              <w:rPr>
                <w:color w:val="231F20"/>
                <w:spacing w:val="-9"/>
              </w:rPr>
              <w:t>405442.1</w:t>
            </w:r>
          </w:p>
        </w:tc>
      </w:tr>
      <w:tr>
        <w:trPr>
          <w:trHeight w:val="744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60"/>
              <w:spacing w:before="286" w:line="178" w:lineRule="auto"/>
              <w:rPr/>
            </w:pPr>
            <w:r>
              <w:rPr>
                <w:color w:val="231F20"/>
              </w:rPr>
              <w:t>全社会固定资产投资（亿元）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433"/>
              <w:spacing w:before="286" w:line="209" w:lineRule="auto"/>
              <w:rPr/>
            </w:pPr>
            <w:r>
              <w:rPr>
                <w:color w:val="231F20"/>
                <w:spacing w:val="-9"/>
              </w:rPr>
              <w:t>446920.8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1"/>
              <w:spacing w:before="286" w:line="209" w:lineRule="auto"/>
              <w:rPr/>
            </w:pPr>
            <w:r>
              <w:rPr>
                <w:color w:val="231F20"/>
                <w:spacing w:val="-9"/>
              </w:rPr>
              <w:t>468559.4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4"/>
              <w:spacing w:before="286" w:line="209" w:lineRule="auto"/>
              <w:rPr/>
            </w:pPr>
            <w:r>
              <w:rPr>
                <w:color w:val="231F20"/>
                <w:spacing w:val="-9"/>
              </w:rPr>
              <w:t>491294.9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227"/>
              <w:spacing w:before="286" w:line="209" w:lineRule="auto"/>
              <w:rPr/>
            </w:pPr>
            <w:r>
              <w:rPr>
                <w:color w:val="231F20"/>
                <w:spacing w:val="-10"/>
              </w:rPr>
              <w:t>505065.8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7"/>
              <w:spacing w:before="286" w:line="209" w:lineRule="auto"/>
              <w:rPr/>
            </w:pPr>
            <w:r>
              <w:rPr>
                <w:color w:val="231F20"/>
                <w:spacing w:val="-10"/>
              </w:rPr>
              <w:t>520915.9</w:t>
            </w:r>
          </w:p>
        </w:tc>
      </w:tr>
      <w:tr>
        <w:trPr>
          <w:trHeight w:val="746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59"/>
              <w:spacing w:before="287" w:line="199" w:lineRule="auto"/>
              <w:rPr/>
            </w:pPr>
            <w:r>
              <w:rPr>
                <w:color w:val="231F20"/>
              </w:rPr>
              <w:t>社会消费品零售总额（亿元）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439"/>
              <w:spacing w:before="287" w:line="209" w:lineRule="auto"/>
              <w:rPr/>
            </w:pPr>
            <w:r>
              <w:rPr>
                <w:color w:val="231F20"/>
                <w:spacing w:val="-10"/>
              </w:rPr>
              <w:t>390514.3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1"/>
              <w:spacing w:before="287" w:line="209" w:lineRule="auto"/>
              <w:rPr/>
            </w:pPr>
            <w:r>
              <w:rPr>
                <w:color w:val="231F20"/>
                <w:spacing w:val="-9"/>
              </w:rPr>
              <w:t>438351.9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4"/>
              <w:spacing w:before="287" w:line="209" w:lineRule="auto"/>
              <w:rPr/>
            </w:pPr>
            <w:r>
              <w:rPr>
                <w:color w:val="231F20"/>
                <w:spacing w:val="-9"/>
              </w:rPr>
              <w:t>436448.7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223"/>
              <w:spacing w:before="287" w:line="209" w:lineRule="auto"/>
              <w:rPr/>
            </w:pPr>
            <w:r>
              <w:rPr>
                <w:color w:val="231F20"/>
                <w:spacing w:val="-9"/>
              </w:rPr>
              <w:t>467098.0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3"/>
              <w:spacing w:before="287" w:line="209" w:lineRule="auto"/>
              <w:rPr/>
            </w:pPr>
            <w:r>
              <w:rPr>
                <w:color w:val="231F20"/>
                <w:spacing w:val="-9"/>
              </w:rPr>
              <w:t>483344.7</w:t>
            </w:r>
          </w:p>
        </w:tc>
      </w:tr>
      <w:tr>
        <w:trPr>
          <w:trHeight w:val="559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59"/>
              <w:spacing w:before="287" w:line="178" w:lineRule="auto"/>
              <w:rPr/>
            </w:pPr>
            <w:r>
              <w:rPr>
                <w:color w:val="231F20"/>
              </w:rPr>
              <w:t>货物进出口总额（亿元）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439"/>
              <w:spacing w:before="286" w:line="182" w:lineRule="auto"/>
              <w:rPr/>
            </w:pPr>
            <w:r>
              <w:rPr>
                <w:color w:val="231F20"/>
                <w:spacing w:val="-10"/>
              </w:rPr>
              <w:t>322215.2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7"/>
              <w:spacing w:before="286" w:line="182" w:lineRule="auto"/>
              <w:rPr/>
            </w:pPr>
            <w:r>
              <w:rPr>
                <w:color w:val="231F20"/>
                <w:spacing w:val="-10"/>
              </w:rPr>
              <w:t>387391.8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4"/>
              <w:spacing w:before="286" w:line="182" w:lineRule="auto"/>
              <w:rPr/>
            </w:pPr>
            <w:r>
              <w:rPr>
                <w:color w:val="231F20"/>
                <w:spacing w:val="-9"/>
              </w:rPr>
              <w:t>416727.8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223"/>
              <w:spacing w:before="286" w:line="182" w:lineRule="auto"/>
              <w:rPr/>
            </w:pPr>
            <w:r>
              <w:rPr>
                <w:color w:val="231F20"/>
                <w:spacing w:val="-9"/>
              </w:rPr>
              <w:t>417510.1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3"/>
              <w:spacing w:before="286" w:line="182" w:lineRule="auto"/>
              <w:rPr/>
            </w:pPr>
            <w:r>
              <w:rPr>
                <w:color w:val="231F20"/>
                <w:spacing w:val="-9"/>
              </w:rPr>
              <w:t>438467.9</w:t>
            </w:r>
          </w:p>
        </w:tc>
      </w:tr>
      <w:tr>
        <w:trPr>
          <w:trHeight w:val="370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384"/>
              <w:spacing w:before="108" w:line="172" w:lineRule="auto"/>
              <w:rPr/>
            </w:pPr>
            <w:r>
              <w:rPr>
                <w:color w:val="231F20"/>
                <w:spacing w:val="-5"/>
              </w:rPr>
              <w:t>出口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451"/>
              <w:spacing w:before="100" w:line="180" w:lineRule="auto"/>
              <w:rPr/>
            </w:pPr>
            <w:r>
              <w:rPr>
                <w:color w:val="231F20"/>
                <w:spacing w:val="-11"/>
              </w:rPr>
              <w:t>179278.8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100" w:line="180" w:lineRule="auto"/>
              <w:rPr/>
            </w:pPr>
            <w:r>
              <w:rPr>
                <w:color w:val="231F20"/>
                <w:spacing w:val="-10"/>
              </w:rPr>
              <w:t>214255.2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6"/>
              <w:spacing w:before="100" w:line="180" w:lineRule="auto"/>
              <w:rPr/>
            </w:pPr>
            <w:r>
              <w:rPr>
                <w:color w:val="231F20"/>
                <w:spacing w:val="-10"/>
              </w:rPr>
              <w:t>236336.8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226"/>
              <w:spacing w:before="100" w:line="180" w:lineRule="auto"/>
              <w:rPr/>
            </w:pPr>
            <w:r>
              <w:rPr>
                <w:color w:val="231F20"/>
                <w:spacing w:val="-10"/>
              </w:rPr>
              <w:t>237656.4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6"/>
              <w:spacing w:before="100" w:line="180" w:lineRule="auto"/>
              <w:rPr/>
            </w:pPr>
            <w:r>
              <w:rPr>
                <w:color w:val="231F20"/>
                <w:spacing w:val="-10"/>
              </w:rPr>
              <w:t>254545.4</w:t>
            </w:r>
          </w:p>
        </w:tc>
      </w:tr>
      <w:tr>
        <w:trPr>
          <w:trHeight w:val="371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370"/>
              <w:spacing w:before="111" w:line="173" w:lineRule="auto"/>
              <w:rPr/>
            </w:pPr>
            <w:r>
              <w:rPr>
                <w:color w:val="231F20"/>
                <w:spacing w:val="-1"/>
              </w:rPr>
              <w:t>进口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451"/>
              <w:spacing w:before="102" w:line="179" w:lineRule="auto"/>
              <w:rPr/>
            </w:pPr>
            <w:r>
              <w:rPr>
                <w:color w:val="231F20"/>
                <w:spacing w:val="-11"/>
              </w:rPr>
              <w:t>142936.4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98"/>
              <w:spacing w:before="102" w:line="179" w:lineRule="auto"/>
              <w:rPr/>
            </w:pPr>
            <w:r>
              <w:rPr>
                <w:color w:val="231F20"/>
                <w:spacing w:val="-11"/>
              </w:rPr>
              <w:t>173136.6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41"/>
              <w:spacing w:before="102" w:line="179" w:lineRule="auto"/>
              <w:rPr/>
            </w:pPr>
            <w:r>
              <w:rPr>
                <w:color w:val="231F20"/>
                <w:spacing w:val="-11"/>
              </w:rPr>
              <w:t>180391.0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241"/>
              <w:spacing w:before="102" w:line="179" w:lineRule="auto"/>
              <w:rPr/>
            </w:pPr>
            <w:r>
              <w:rPr>
                <w:color w:val="231F20"/>
                <w:spacing w:val="-11"/>
              </w:rPr>
              <w:t>179853.8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91"/>
              <w:spacing w:before="102" w:line="179" w:lineRule="auto"/>
              <w:rPr/>
            </w:pPr>
            <w:r>
              <w:rPr>
                <w:color w:val="231F20"/>
                <w:spacing w:val="-11"/>
              </w:rPr>
              <w:t>183922.6</w:t>
            </w:r>
          </w:p>
        </w:tc>
      </w:tr>
      <w:tr>
        <w:trPr>
          <w:trHeight w:val="557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370"/>
              <w:spacing w:before="110" w:line="175" w:lineRule="auto"/>
              <w:rPr/>
            </w:pPr>
            <w:r>
              <w:rPr>
                <w:color w:val="231F20"/>
                <w:spacing w:val="-1"/>
              </w:rPr>
              <w:t>差额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528"/>
              <w:spacing w:before="105" w:line="209" w:lineRule="auto"/>
              <w:rPr/>
            </w:pPr>
            <w:r>
              <w:rPr>
                <w:color w:val="231F20"/>
                <w:spacing w:val="-10"/>
              </w:rPr>
              <w:t>36342.4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270"/>
              <w:spacing w:before="105" w:line="209" w:lineRule="auto"/>
              <w:rPr/>
            </w:pPr>
            <w:r>
              <w:rPr>
                <w:color w:val="231F20"/>
                <w:spacing w:val="-9"/>
              </w:rPr>
              <w:t>41118.7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16"/>
              <w:spacing w:before="105" w:line="209" w:lineRule="auto"/>
              <w:rPr/>
            </w:pPr>
            <w:r>
              <w:rPr>
                <w:color w:val="231F20"/>
                <w:spacing w:val="-10"/>
              </w:rPr>
              <w:t>55945.8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316"/>
              <w:spacing w:before="105" w:line="209" w:lineRule="auto"/>
              <w:rPr/>
            </w:pPr>
            <w:r>
              <w:rPr>
                <w:color w:val="231F20"/>
                <w:spacing w:val="-10"/>
              </w:rPr>
              <w:t>57802.6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64"/>
              <w:spacing w:before="105" w:line="209" w:lineRule="auto"/>
              <w:rPr/>
            </w:pPr>
            <w:r>
              <w:rPr>
                <w:color w:val="231F20"/>
                <w:spacing w:val="-9"/>
              </w:rPr>
              <w:t>70623.0</w:t>
            </w:r>
          </w:p>
        </w:tc>
      </w:tr>
      <w:tr>
        <w:trPr>
          <w:trHeight w:val="745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63"/>
              <w:spacing w:before="294" w:line="178" w:lineRule="auto"/>
              <w:rPr/>
            </w:pPr>
            <w:r>
              <w:rPr>
                <w:color w:val="231F20"/>
              </w:rPr>
              <w:t>实际利用外商直接投资金额（亿美元）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629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1493.4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77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1809.6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20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1891.3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419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1632.5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69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1162.4</w:t>
            </w:r>
          </w:p>
        </w:tc>
      </w:tr>
      <w:tr>
        <w:trPr>
          <w:trHeight w:val="746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59"/>
              <w:spacing w:before="295" w:line="178" w:lineRule="auto"/>
              <w:rPr/>
            </w:pPr>
            <w:r>
              <w:rPr>
                <w:color w:val="231F20"/>
              </w:rPr>
              <w:t>外汇储备（亿美元）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528"/>
              <w:spacing w:before="294" w:line="209" w:lineRule="auto"/>
              <w:rPr/>
            </w:pPr>
            <w:r>
              <w:rPr>
                <w:color w:val="231F20"/>
                <w:spacing w:val="-10"/>
              </w:rPr>
              <w:t>32165.2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276"/>
              <w:spacing w:before="294" w:line="209" w:lineRule="auto"/>
              <w:rPr/>
            </w:pPr>
            <w:r>
              <w:rPr>
                <w:color w:val="231F20"/>
                <w:spacing w:val="-10"/>
              </w:rPr>
              <w:t>32501.7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19"/>
              <w:spacing w:before="294" w:line="209" w:lineRule="auto"/>
              <w:rPr/>
            </w:pPr>
            <w:r>
              <w:rPr>
                <w:color w:val="231F20"/>
                <w:spacing w:val="-10"/>
              </w:rPr>
              <w:t>31276.9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318"/>
              <w:spacing w:before="294" w:line="209" w:lineRule="auto"/>
              <w:rPr/>
            </w:pPr>
            <w:r>
              <w:rPr>
                <w:color w:val="231F20"/>
                <w:spacing w:val="-10"/>
              </w:rPr>
              <w:t>32379.8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68"/>
              <w:spacing w:before="294" w:line="209" w:lineRule="auto"/>
              <w:rPr/>
            </w:pPr>
            <w:r>
              <w:rPr>
                <w:color w:val="231F20"/>
                <w:spacing w:val="-10"/>
              </w:rPr>
              <w:t>32023.6</w:t>
            </w:r>
          </w:p>
        </w:tc>
      </w:tr>
      <w:tr>
        <w:trPr>
          <w:trHeight w:val="743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61"/>
              <w:spacing w:before="298" w:line="175" w:lineRule="auto"/>
              <w:rPr/>
            </w:pPr>
            <w:r>
              <w:rPr>
                <w:color w:val="231F20"/>
                <w:spacing w:val="-2"/>
              </w:rPr>
              <w:t>居民消费价格指数（上年=100）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719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102.5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466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100.9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509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102.0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509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100.2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58"/>
              <w:spacing w:before="293" w:line="209" w:lineRule="auto"/>
              <w:rPr/>
            </w:pPr>
            <w:r>
              <w:rPr>
                <w:color w:val="231F20"/>
                <w:spacing w:val="-11"/>
              </w:rPr>
              <w:t>100.2</w:t>
            </w:r>
          </w:p>
        </w:tc>
      </w:tr>
      <w:tr>
        <w:trPr>
          <w:trHeight w:val="558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61"/>
              <w:spacing w:before="298" w:line="173" w:lineRule="auto"/>
              <w:rPr/>
            </w:pPr>
            <w:r>
              <w:rPr>
                <w:color w:val="231F20"/>
              </w:rPr>
              <w:t>财政收入（亿元）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451"/>
              <w:spacing w:before="295" w:line="175" w:lineRule="auto"/>
              <w:rPr/>
            </w:pPr>
            <w:r>
              <w:rPr>
                <w:color w:val="231F20"/>
                <w:spacing w:val="-11"/>
              </w:rPr>
              <w:t>182913.9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295" w:line="175" w:lineRule="auto"/>
              <w:rPr/>
            </w:pPr>
            <w:r>
              <w:rPr>
                <w:color w:val="231F20"/>
                <w:spacing w:val="-10"/>
              </w:rPr>
              <w:t>202554.6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6"/>
              <w:spacing w:before="295" w:line="175" w:lineRule="auto"/>
              <w:rPr/>
            </w:pPr>
            <w:r>
              <w:rPr>
                <w:color w:val="231F20"/>
                <w:spacing w:val="-10"/>
              </w:rPr>
              <w:t>203649.3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226"/>
              <w:spacing w:before="295" w:line="175" w:lineRule="auto"/>
              <w:rPr/>
            </w:pPr>
            <w:r>
              <w:rPr>
                <w:color w:val="231F20"/>
                <w:spacing w:val="-10"/>
              </w:rPr>
              <w:t>216795.4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6"/>
              <w:spacing w:before="295" w:line="175" w:lineRule="auto"/>
              <w:rPr/>
            </w:pPr>
            <w:r>
              <w:rPr>
                <w:color w:val="231F20"/>
                <w:spacing w:val="-10"/>
              </w:rPr>
              <w:t>219702.1</w:t>
            </w:r>
          </w:p>
        </w:tc>
      </w:tr>
      <w:tr>
        <w:trPr>
          <w:trHeight w:val="560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61"/>
              <w:spacing w:before="111" w:line="178" w:lineRule="auto"/>
              <w:rPr/>
            </w:pPr>
            <w:r>
              <w:rPr>
                <w:color w:val="231F20"/>
              </w:rPr>
              <w:t>财政支出（亿元）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436"/>
              <w:spacing w:before="111" w:line="209" w:lineRule="auto"/>
              <w:rPr/>
            </w:pPr>
            <w:r>
              <w:rPr>
                <w:color w:val="231F20"/>
                <w:spacing w:val="-10"/>
              </w:rPr>
              <w:t>245679.0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184"/>
              <w:spacing w:before="111" w:line="209" w:lineRule="auto"/>
              <w:rPr/>
            </w:pPr>
            <w:r>
              <w:rPr>
                <w:color w:val="231F20"/>
                <w:spacing w:val="-10"/>
              </w:rPr>
              <w:t>245673.0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226"/>
              <w:spacing w:before="111" w:line="209" w:lineRule="auto"/>
              <w:rPr/>
            </w:pPr>
            <w:r>
              <w:rPr>
                <w:color w:val="231F20"/>
                <w:spacing w:val="-10"/>
              </w:rPr>
              <w:t>260552.1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226"/>
              <w:spacing w:before="111" w:line="209" w:lineRule="auto"/>
              <w:rPr/>
            </w:pPr>
            <w:r>
              <w:rPr>
                <w:color w:val="231F20"/>
                <w:spacing w:val="-10"/>
              </w:rPr>
              <w:t>274622.9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176"/>
              <w:spacing w:before="111" w:line="209" w:lineRule="auto"/>
              <w:rPr/>
            </w:pPr>
            <w:r>
              <w:rPr>
                <w:color w:val="231F20"/>
                <w:spacing w:val="-10"/>
              </w:rPr>
              <w:t>284612.3</w:t>
            </w:r>
          </w:p>
        </w:tc>
      </w:tr>
      <w:tr>
        <w:trPr>
          <w:trHeight w:val="557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60"/>
              <w:spacing w:before="301" w:line="170" w:lineRule="auto"/>
              <w:rPr/>
            </w:pPr>
            <w:r>
              <w:rPr>
                <w:color w:val="231F20"/>
              </w:rPr>
              <w:t>城镇居民人均可支配收入（元）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656"/>
              <w:spacing w:before="295" w:line="174" w:lineRule="auto"/>
              <w:rPr/>
            </w:pPr>
            <w:r>
              <w:rPr>
                <w:color w:val="231F20"/>
                <w:spacing w:val="-9"/>
              </w:rPr>
              <w:t>43834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404"/>
              <w:spacing w:before="295" w:line="174" w:lineRule="auto"/>
              <w:rPr/>
            </w:pPr>
            <w:r>
              <w:rPr>
                <w:color w:val="231F20"/>
                <w:spacing w:val="-9"/>
              </w:rPr>
              <w:t>47412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47"/>
              <w:spacing w:before="295" w:line="174" w:lineRule="auto"/>
              <w:rPr/>
            </w:pPr>
            <w:r>
              <w:rPr>
                <w:color w:val="231F20"/>
                <w:spacing w:val="-9"/>
              </w:rPr>
              <w:t>49283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450"/>
              <w:spacing w:before="295" w:line="174" w:lineRule="auto"/>
              <w:rPr/>
            </w:pPr>
            <w:r>
              <w:rPr>
                <w:color w:val="231F20"/>
                <w:spacing w:val="-10"/>
              </w:rPr>
              <w:t>51821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99"/>
              <w:spacing w:before="295" w:line="174" w:lineRule="auto"/>
              <w:rPr/>
            </w:pPr>
            <w:r>
              <w:rPr>
                <w:color w:val="231F20"/>
                <w:spacing w:val="-10"/>
              </w:rPr>
              <w:t>54188</w:t>
            </w:r>
          </w:p>
        </w:tc>
      </w:tr>
      <w:tr>
        <w:trPr>
          <w:trHeight w:val="558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57"/>
              <w:spacing w:before="116" w:line="174" w:lineRule="auto"/>
              <w:rPr/>
            </w:pPr>
            <w:r>
              <w:rPr>
                <w:color w:val="231F20"/>
              </w:rPr>
              <w:t>农村居民人均可支配收入（元）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674"/>
              <w:spacing w:before="112" w:line="209" w:lineRule="auto"/>
              <w:rPr/>
            </w:pPr>
            <w:r>
              <w:rPr>
                <w:color w:val="231F20"/>
                <w:spacing w:val="-12"/>
              </w:rPr>
              <w:t>17131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421"/>
              <w:spacing w:before="112" w:line="209" w:lineRule="auto"/>
              <w:rPr/>
            </w:pPr>
            <w:r>
              <w:rPr>
                <w:color w:val="231F20"/>
                <w:spacing w:val="-12"/>
              </w:rPr>
              <w:t>18931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49"/>
              <w:spacing w:before="112" w:line="209" w:lineRule="auto"/>
              <w:rPr/>
            </w:pPr>
            <w:r>
              <w:rPr>
                <w:color w:val="231F20"/>
                <w:spacing w:val="-10"/>
              </w:rPr>
              <w:t>20133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449"/>
              <w:spacing w:before="112" w:line="209" w:lineRule="auto"/>
              <w:rPr/>
            </w:pPr>
            <w:r>
              <w:rPr>
                <w:color w:val="231F20"/>
                <w:spacing w:val="-10"/>
              </w:rPr>
              <w:t>21691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99"/>
              <w:spacing w:before="112" w:line="209" w:lineRule="auto"/>
              <w:rPr/>
            </w:pPr>
            <w:r>
              <w:rPr>
                <w:color w:val="231F20"/>
                <w:spacing w:val="-10"/>
              </w:rPr>
              <w:t>23119</w:t>
            </w:r>
          </w:p>
        </w:tc>
      </w:tr>
      <w:tr>
        <w:trPr>
          <w:trHeight w:val="566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60"/>
              <w:spacing w:before="299" w:line="178" w:lineRule="auto"/>
              <w:rPr/>
            </w:pPr>
            <w:r>
              <w:rPr>
                <w:color w:val="231F20"/>
                <w:spacing w:val="-3"/>
              </w:rPr>
              <w:t>城镇就业人员(百万)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612"/>
              <w:spacing w:before="299" w:line="178" w:lineRule="auto"/>
              <w:rPr/>
            </w:pPr>
            <w:r>
              <w:rPr>
                <w:color w:val="231F20"/>
                <w:spacing w:val="-9"/>
              </w:rPr>
              <w:t>462.71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360"/>
              <w:spacing w:before="299" w:line="178" w:lineRule="auto"/>
              <w:rPr/>
            </w:pPr>
            <w:r>
              <w:rPr>
                <w:color w:val="231F20"/>
                <w:spacing w:val="-9"/>
              </w:rPr>
              <w:t>467.73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402"/>
              <w:spacing w:before="299" w:line="178" w:lineRule="auto"/>
              <w:rPr/>
            </w:pPr>
            <w:r>
              <w:rPr>
                <w:color w:val="231F20"/>
                <w:spacing w:val="-9"/>
              </w:rPr>
              <w:t>459.31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402"/>
              <w:spacing w:before="299" w:line="178" w:lineRule="auto"/>
              <w:rPr/>
            </w:pPr>
            <w:r>
              <w:rPr>
                <w:color w:val="231F20"/>
                <w:spacing w:val="-9"/>
              </w:rPr>
              <w:t>470.32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352"/>
              <w:spacing w:before="299" w:line="178" w:lineRule="auto"/>
              <w:rPr/>
            </w:pPr>
            <w:r>
              <w:rPr>
                <w:color w:val="231F20"/>
                <w:spacing w:val="-9"/>
              </w:rPr>
              <w:t>473.45</w:t>
            </w:r>
          </w:p>
        </w:tc>
      </w:tr>
      <w:tr>
        <w:trPr>
          <w:trHeight w:val="551" w:hRule="atLeast"/>
        </w:trPr>
        <w:tc>
          <w:tcPr>
            <w:tcW w:w="3396" w:type="dxa"/>
            <w:vAlign w:val="top"/>
          </w:tcPr>
          <w:p>
            <w:pPr>
              <w:pStyle w:val="TableText"/>
              <w:ind w:left="60"/>
              <w:spacing w:before="108" w:line="177" w:lineRule="auto"/>
              <w:rPr/>
            </w:pPr>
            <w:r>
              <w:rPr>
                <w:color w:val="231F20"/>
                <w:spacing w:val="-2"/>
              </w:rPr>
              <w:t>城镇调查失业率（%）</w:t>
            </w:r>
          </w:p>
        </w:tc>
        <w:tc>
          <w:tcPr>
            <w:tcW w:w="1206" w:type="dxa"/>
            <w:vAlign w:val="top"/>
          </w:tcPr>
          <w:p>
            <w:pPr>
              <w:pStyle w:val="TableText"/>
              <w:ind w:left="883"/>
              <w:spacing w:before="106" w:line="209" w:lineRule="auto"/>
              <w:rPr/>
            </w:pPr>
            <w:r>
              <w:rPr>
                <w:color w:val="231F20"/>
                <w:spacing w:val="-7"/>
              </w:rPr>
              <w:t>5.2</w:t>
            </w:r>
          </w:p>
        </w:tc>
        <w:tc>
          <w:tcPr>
            <w:tcW w:w="996" w:type="dxa"/>
            <w:vAlign w:val="top"/>
          </w:tcPr>
          <w:p>
            <w:pPr>
              <w:pStyle w:val="TableText"/>
              <w:ind w:left="631"/>
              <w:spacing w:before="106" w:line="209" w:lineRule="auto"/>
              <w:rPr/>
            </w:pPr>
            <w:r>
              <w:rPr>
                <w:color w:val="231F20"/>
                <w:spacing w:val="-7"/>
              </w:rPr>
              <w:t>5.1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674"/>
              <w:spacing w:before="106" w:line="209" w:lineRule="auto"/>
              <w:rPr/>
            </w:pPr>
            <w:r>
              <w:rPr>
                <w:color w:val="231F20"/>
                <w:spacing w:val="-7"/>
              </w:rPr>
              <w:t>5.5</w:t>
            </w:r>
          </w:p>
        </w:tc>
        <w:tc>
          <w:tcPr>
            <w:tcW w:w="1089" w:type="dxa"/>
            <w:vAlign w:val="top"/>
          </w:tcPr>
          <w:p>
            <w:pPr>
              <w:pStyle w:val="TableText"/>
              <w:ind w:left="673"/>
              <w:spacing w:before="106" w:line="209" w:lineRule="auto"/>
              <w:rPr/>
            </w:pPr>
            <w:r>
              <w:rPr>
                <w:color w:val="231F20"/>
                <w:spacing w:val="-7"/>
              </w:rPr>
              <w:t>5.1</w:t>
            </w:r>
          </w:p>
        </w:tc>
        <w:tc>
          <w:tcPr>
            <w:tcW w:w="1039" w:type="dxa"/>
            <w:vAlign w:val="top"/>
          </w:tcPr>
          <w:p>
            <w:pPr>
              <w:pStyle w:val="TableText"/>
              <w:ind w:left="623"/>
              <w:spacing w:before="106" w:line="209" w:lineRule="auto"/>
              <w:rPr/>
            </w:pPr>
            <w:r>
              <w:rPr>
                <w:color w:val="231F20"/>
                <w:spacing w:val="-7"/>
              </w:rPr>
              <w:t>5.1</w:t>
            </w:r>
          </w:p>
        </w:tc>
      </w:tr>
      <w:tr>
        <w:trPr>
          <w:trHeight w:val="567" w:hRule="atLeast"/>
        </w:trPr>
        <w:tc>
          <w:tcPr>
            <w:tcW w:w="339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7"/>
              <w:spacing w:before="307" w:line="172" w:lineRule="auto"/>
              <w:rPr/>
            </w:pPr>
            <w:r>
              <w:rPr>
                <w:color w:val="231F20"/>
                <w:spacing w:val="-1"/>
              </w:rPr>
              <w:t>总人口（百万）</w:t>
            </w:r>
          </w:p>
        </w:tc>
        <w:tc>
          <w:tcPr>
            <w:tcW w:w="120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29"/>
              <w:spacing w:before="301" w:line="177" w:lineRule="auto"/>
              <w:rPr/>
            </w:pPr>
            <w:r>
              <w:rPr>
                <w:color w:val="231F20"/>
                <w:spacing w:val="-11"/>
              </w:rPr>
              <w:t>1412.1</w:t>
            </w:r>
          </w:p>
        </w:tc>
        <w:tc>
          <w:tcPr>
            <w:tcW w:w="99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77"/>
              <w:spacing w:before="301" w:line="177" w:lineRule="auto"/>
              <w:rPr/>
            </w:pPr>
            <w:r>
              <w:rPr>
                <w:color w:val="231F20"/>
                <w:spacing w:val="-11"/>
              </w:rPr>
              <w:t>1412.6</w:t>
            </w:r>
          </w:p>
        </w:tc>
        <w:tc>
          <w:tcPr>
            <w:tcW w:w="103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20"/>
              <w:spacing w:before="301" w:line="177" w:lineRule="auto"/>
              <w:rPr/>
            </w:pPr>
            <w:r>
              <w:rPr>
                <w:color w:val="231F20"/>
                <w:spacing w:val="-11"/>
              </w:rPr>
              <w:t>1411.8</w:t>
            </w:r>
          </w:p>
        </w:tc>
        <w:tc>
          <w:tcPr>
            <w:tcW w:w="108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19"/>
              <w:spacing w:before="301" w:line="177" w:lineRule="auto"/>
              <w:rPr/>
            </w:pPr>
            <w:r>
              <w:rPr>
                <w:color w:val="231F20"/>
                <w:spacing w:val="-11"/>
              </w:rPr>
              <w:t>1409.7</w:t>
            </w:r>
          </w:p>
        </w:tc>
        <w:tc>
          <w:tcPr>
            <w:tcW w:w="103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69"/>
              <w:spacing w:before="301" w:line="177" w:lineRule="auto"/>
              <w:rPr/>
            </w:pPr>
            <w:r>
              <w:rPr>
                <w:color w:val="231F20"/>
                <w:spacing w:val="-11"/>
              </w:rPr>
              <w:t>1408.3</w:t>
            </w:r>
          </w:p>
        </w:tc>
      </w:tr>
    </w:tbl>
    <w:p>
      <w:pPr>
        <w:pStyle w:val="BodyText"/>
        <w:ind w:left="352"/>
        <w:spacing w:before="166" w:line="16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注：① 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2020</w:t>
      </w:r>
      <w:r>
        <w:rPr>
          <w:sz w:val="18"/>
          <w:szCs w:val="18"/>
          <w:color w:val="231F20"/>
        </w:rPr>
        <w:t>—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2023</w:t>
      </w:r>
      <w:r>
        <w:rPr>
          <w:sz w:val="18"/>
          <w:szCs w:val="18"/>
          <w:color w:val="231F20"/>
        </w:rPr>
        <w:t>年国内生产总值为最终核实数，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2024</w:t>
      </w:r>
      <w:r>
        <w:rPr>
          <w:sz w:val="18"/>
          <w:szCs w:val="18"/>
          <w:color w:val="231F20"/>
        </w:rPr>
        <w:t>年国内生产</w:t>
      </w:r>
      <w:r>
        <w:rPr>
          <w:sz w:val="18"/>
          <w:szCs w:val="18"/>
          <w:color w:val="231F20"/>
          <w:spacing w:val="-1"/>
        </w:rPr>
        <w:t>总值为初步核算数。</w:t>
      </w:r>
    </w:p>
    <w:p>
      <w:pPr>
        <w:pStyle w:val="BodyText"/>
        <w:ind w:left="354" w:right="682" w:firstLine="349"/>
        <w:spacing w:before="1" w:line="183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1"/>
        </w:rPr>
        <w:t>②</w:t>
      </w:r>
      <w:r>
        <w:rPr>
          <w:sz w:val="18"/>
          <w:szCs w:val="18"/>
          <w:color w:val="231F20"/>
          <w:spacing w:val="22"/>
          <w:w w:val="101"/>
        </w:rPr>
        <w:t xml:space="preserve"> </w:t>
      </w:r>
      <w:r>
        <w:rPr>
          <w:sz w:val="18"/>
          <w:szCs w:val="18"/>
          <w:color w:val="231F20"/>
          <w:spacing w:val="-1"/>
        </w:rPr>
        <w:t>根据第五次全国经济普查结果及有关制度规定，对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2023</w:t>
      </w:r>
      <w:r>
        <w:rPr>
          <w:sz w:val="18"/>
          <w:szCs w:val="18"/>
          <w:color w:val="231F20"/>
          <w:spacing w:val="-1"/>
        </w:rPr>
        <w:t>年及以前年度数据进行了系统修订。</w:t>
      </w:r>
      <w:r>
        <w:rPr>
          <w:sz w:val="18"/>
          <w:szCs w:val="18"/>
          <w:color w:val="231F20"/>
        </w:rPr>
        <w:t xml:space="preserve"> </w:t>
      </w:r>
      <w:r>
        <w:rPr>
          <w:sz w:val="18"/>
          <w:szCs w:val="18"/>
          <w:color w:val="231F20"/>
          <w:spacing w:val="-3"/>
        </w:rPr>
        <w:t>数据来源：国家统计局。</w:t>
      </w:r>
    </w:p>
    <w:p>
      <w:pPr>
        <w:spacing w:line="183" w:lineRule="auto"/>
        <w:sectPr>
          <w:headerReference w:type="default" r:id="rId364"/>
          <w:pgSz w:w="11906" w:h="16158"/>
          <w:pgMar w:top="1383" w:right="1417" w:bottom="400" w:left="1700" w:header="1060" w:footer="0" w:gutter="0"/>
        </w:sectPr>
        <w:rPr>
          <w:sz w:val="18"/>
          <w:szCs w:val="18"/>
        </w:rPr>
      </w:pPr>
    </w:p>
    <w:p>
      <w:pPr>
        <w:pStyle w:val="BodyText"/>
        <w:spacing w:line="294" w:lineRule="auto"/>
        <w:rPr/>
      </w:pPr>
      <w:r/>
    </w:p>
    <w:p>
      <w:pPr>
        <w:pStyle w:val="BodyText"/>
        <w:ind w:left="429"/>
        <w:spacing w:before="102" w:line="196" w:lineRule="auto"/>
        <w:rPr/>
      </w:pPr>
      <w:r>
        <w:rPr>
          <w:color w:val="174B8B"/>
          <w:spacing w:val="-3"/>
        </w:rPr>
        <w:t>附表 </w:t>
      </w:r>
      <w:r>
        <w:rPr>
          <w:rFonts w:ascii="Times New Roman" w:hAnsi="Times New Roman" w:eastAsia="Times New Roman" w:cs="Times New Roman"/>
          <w:b/>
          <w:bCs/>
          <w:color w:val="174B8B"/>
          <w:spacing w:val="-3"/>
        </w:rPr>
        <w:t>2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4"/>
        </w:rPr>
        <w:t xml:space="preserve">                                </w:t>
      </w:r>
      <w:r>
        <w:rPr>
          <w:color w:val="174B8B"/>
          <w:spacing w:val="-4"/>
        </w:rPr>
        <w:t>主要金融指标（  一</w:t>
      </w:r>
      <w:r>
        <w:rPr>
          <w:color w:val="174B8B"/>
          <w:spacing w:val="17"/>
          <w:w w:val="101"/>
        </w:rPr>
        <w:t xml:space="preserve"> </w:t>
      </w:r>
      <w:r>
        <w:rPr>
          <w:color w:val="174B8B"/>
          <w:spacing w:val="-4"/>
        </w:rPr>
        <w:t>）</w:t>
      </w:r>
    </w:p>
    <w:p>
      <w:pPr>
        <w:pStyle w:val="BodyText"/>
        <w:ind w:left="3780"/>
        <w:spacing w:before="1" w:line="164" w:lineRule="auto"/>
        <w:rPr/>
      </w:pPr>
      <w:r>
        <w:rPr>
          <w:color w:val="231F20"/>
          <w:spacing w:val="3"/>
        </w:rPr>
        <w:t>（年末余额）</w:t>
      </w:r>
    </w:p>
    <w:p>
      <w:pPr>
        <w:pStyle w:val="BodyText"/>
        <w:ind w:left="7287"/>
        <w:spacing w:before="1" w:line="178" w:lineRule="auto"/>
        <w:rPr/>
      </w:pPr>
      <w:r>
        <w:rPr>
          <w:color w:val="231F20"/>
          <w:spacing w:val="-1"/>
        </w:rPr>
        <w:t>单位：亿元</w:t>
      </w:r>
    </w:p>
    <w:tbl>
      <w:tblPr>
        <w:tblStyle w:val="TableNormal"/>
        <w:tblW w:w="878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297"/>
        <w:gridCol w:w="2712"/>
        <w:gridCol w:w="2778"/>
      </w:tblGrid>
      <w:tr>
        <w:trPr>
          <w:trHeight w:val="281" w:hRule="atLeast"/>
        </w:trPr>
        <w:tc>
          <w:tcPr>
            <w:shd w:val="clear" w:fill="D4E5F5"/>
            <w:tcW w:w="3297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270"/>
              <w:spacing w:before="53" w:line="217" w:lineRule="exact"/>
              <w:rPr/>
            </w:pP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271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166"/>
              <w:spacing w:before="46" w:line="224" w:lineRule="exact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shd w:val="clear" w:fill="D4E5F5"/>
            <w:tcW w:w="277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221"/>
              <w:spacing w:before="46" w:line="224" w:lineRule="exact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</w:tr>
      <w:tr>
        <w:trPr>
          <w:trHeight w:val="299" w:hRule="atLeast"/>
        </w:trPr>
        <w:tc>
          <w:tcPr>
            <w:shd w:val="clear" w:fill="D4E5F5"/>
            <w:tcW w:w="3297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539"/>
              <w:spacing w:before="81" w:line="208" w:lineRule="exact"/>
              <w:rPr>
                <w:sz w:val="10"/>
                <w:szCs w:val="10"/>
              </w:rPr>
            </w:pPr>
            <w:r>
              <w:rPr>
                <w:color w:val="231F20"/>
                <w:spacing w:val="-15"/>
                <w:position w:val="1"/>
              </w:rPr>
              <w:t>M</w:t>
            </w:r>
            <w:r>
              <w:rPr>
                <w:sz w:val="10"/>
                <w:szCs w:val="10"/>
                <w:color w:val="231F20"/>
                <w:position w:val="-1"/>
              </w:rPr>
              <w:t>2</w:t>
            </w:r>
          </w:p>
        </w:tc>
        <w:tc>
          <w:tcPr>
            <w:tcW w:w="271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953"/>
              <w:spacing w:before="48" w:line="167" w:lineRule="auto"/>
              <w:rPr/>
            </w:pPr>
            <w:r>
              <w:rPr>
                <w:color w:val="231F20"/>
                <w:spacing w:val="-10"/>
              </w:rPr>
              <w:t>2922713.3</w:t>
            </w:r>
          </w:p>
        </w:tc>
        <w:tc>
          <w:tcPr>
            <w:shd w:val="clear" w:fill="D4E5F5"/>
            <w:tcW w:w="277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011"/>
              <w:spacing w:before="48" w:line="167" w:lineRule="auto"/>
              <w:rPr/>
            </w:pPr>
            <w:r>
              <w:rPr>
                <w:color w:val="231F20"/>
                <w:spacing w:val="-10"/>
              </w:rPr>
              <w:t>3135322.3</w:t>
            </w:r>
          </w:p>
        </w:tc>
      </w:tr>
      <w:tr>
        <w:trPr>
          <w:trHeight w:val="291" w:hRule="atLeast"/>
        </w:trPr>
        <w:tc>
          <w:tcPr>
            <w:shd w:val="clear" w:fill="D4E5F5"/>
            <w:tcW w:w="3297" w:type="dxa"/>
            <w:vAlign w:val="top"/>
          </w:tcPr>
          <w:p>
            <w:pPr>
              <w:pStyle w:val="TableText"/>
              <w:ind w:left="1539"/>
              <w:spacing w:before="76" w:line="204" w:lineRule="exact"/>
              <w:rPr>
                <w:sz w:val="10"/>
                <w:szCs w:val="10"/>
              </w:rPr>
            </w:pPr>
            <w:r>
              <w:rPr>
                <w:color w:val="231F20"/>
                <w:spacing w:val="-15"/>
                <w:position w:val="1"/>
              </w:rPr>
              <w:t>M</w:t>
            </w:r>
            <w:r>
              <w:rPr>
                <w:sz w:val="10"/>
                <w:szCs w:val="10"/>
                <w:color w:val="231F20"/>
                <w:position w:val="-1"/>
              </w:rPr>
              <w:t>1</w:t>
            </w:r>
          </w:p>
        </w:tc>
        <w:tc>
          <w:tcPr>
            <w:tcW w:w="2712" w:type="dxa"/>
            <w:vAlign w:val="top"/>
          </w:tcPr>
          <w:p>
            <w:pPr>
              <w:pStyle w:val="TableText"/>
              <w:ind w:left="1043"/>
              <w:spacing w:before="42" w:line="165" w:lineRule="auto"/>
              <w:rPr/>
            </w:pPr>
            <w:r>
              <w:rPr>
                <w:color w:val="231F20"/>
                <w:spacing w:val="-10"/>
              </w:rPr>
              <w:t>680542.5</w:t>
            </w:r>
          </w:p>
        </w:tc>
        <w:tc>
          <w:tcPr>
            <w:shd w:val="clear" w:fill="D4E5F5"/>
            <w:tcW w:w="2778" w:type="dxa"/>
            <w:vAlign w:val="top"/>
          </w:tcPr>
          <w:p>
            <w:pPr>
              <w:pStyle w:val="TableText"/>
              <w:ind w:left="1098"/>
              <w:spacing w:before="42" w:line="165" w:lineRule="auto"/>
              <w:rPr/>
            </w:pPr>
            <w:r>
              <w:rPr>
                <w:color w:val="231F20"/>
                <w:spacing w:val="-10"/>
              </w:rPr>
              <w:t>670959.4</w:t>
            </w:r>
          </w:p>
        </w:tc>
      </w:tr>
      <w:tr>
        <w:trPr>
          <w:trHeight w:val="278" w:hRule="atLeast"/>
        </w:trPr>
        <w:tc>
          <w:tcPr>
            <w:shd w:val="clear" w:fill="D4E5F5"/>
            <w:tcW w:w="3297" w:type="dxa"/>
            <w:vAlign w:val="top"/>
          </w:tcPr>
          <w:p>
            <w:pPr>
              <w:pStyle w:val="TableText"/>
              <w:ind w:left="1539"/>
              <w:spacing w:before="78" w:line="190" w:lineRule="exact"/>
              <w:rPr>
                <w:sz w:val="10"/>
                <w:szCs w:val="10"/>
              </w:rPr>
            </w:pPr>
            <w:r>
              <w:rPr>
                <w:color w:val="231F20"/>
                <w:spacing w:val="-15"/>
              </w:rPr>
              <w:t>M</w:t>
            </w:r>
            <w:r>
              <w:rPr>
                <w:sz w:val="10"/>
                <w:szCs w:val="10"/>
                <w:color w:val="231F20"/>
                <w:position w:val="-2"/>
              </w:rPr>
              <w:t>0</w:t>
            </w:r>
          </w:p>
        </w:tc>
        <w:tc>
          <w:tcPr>
            <w:tcW w:w="2712" w:type="dxa"/>
            <w:vAlign w:val="top"/>
          </w:tcPr>
          <w:p>
            <w:pPr>
              <w:pStyle w:val="TableText"/>
              <w:ind w:left="1057"/>
              <w:spacing w:before="45" w:line="223" w:lineRule="exact"/>
              <w:rPr/>
            </w:pPr>
            <w:r>
              <w:rPr>
                <w:color w:val="231F20"/>
                <w:spacing w:val="-11"/>
              </w:rPr>
              <w:t>113444.6</w:t>
            </w:r>
          </w:p>
        </w:tc>
        <w:tc>
          <w:tcPr>
            <w:shd w:val="clear" w:fill="D4E5F5"/>
            <w:tcW w:w="2778" w:type="dxa"/>
            <w:vAlign w:val="top"/>
          </w:tcPr>
          <w:p>
            <w:pPr>
              <w:pStyle w:val="TableText"/>
              <w:ind w:left="1112"/>
              <w:spacing w:before="45" w:line="223" w:lineRule="exact"/>
              <w:rPr/>
            </w:pPr>
            <w:r>
              <w:rPr>
                <w:color w:val="231F20"/>
                <w:spacing w:val="-11"/>
              </w:rPr>
              <w:t>128194.2</w:t>
            </w:r>
          </w:p>
        </w:tc>
      </w:tr>
      <w:tr>
        <w:trPr>
          <w:trHeight w:val="285" w:hRule="atLeast"/>
        </w:trPr>
        <w:tc>
          <w:tcPr>
            <w:shd w:val="clear" w:fill="D4E5F5"/>
            <w:tcW w:w="3297" w:type="dxa"/>
            <w:vAlign w:val="top"/>
          </w:tcPr>
          <w:p>
            <w:pPr>
              <w:pStyle w:val="TableText"/>
              <w:ind w:left="910"/>
              <w:spacing w:before="63" w:line="212" w:lineRule="exact"/>
              <w:rPr/>
            </w:pPr>
            <w:r>
              <w:rPr>
                <w:color w:val="231F20"/>
                <w:spacing w:val="-1"/>
                <w:position w:val="-1"/>
              </w:rPr>
              <w:t>金融机构各项存款</w:t>
            </w:r>
          </w:p>
        </w:tc>
        <w:tc>
          <w:tcPr>
            <w:tcW w:w="2712" w:type="dxa"/>
            <w:vAlign w:val="top"/>
          </w:tcPr>
          <w:p>
            <w:pPr>
              <w:pStyle w:val="TableText"/>
              <w:ind w:left="953"/>
              <w:spacing w:before="60" w:line="215" w:lineRule="exact"/>
              <w:rPr/>
            </w:pPr>
            <w:r>
              <w:rPr>
                <w:color w:val="231F20"/>
                <w:spacing w:val="-10"/>
              </w:rPr>
              <w:t>2842623.3</w:t>
            </w:r>
          </w:p>
        </w:tc>
        <w:tc>
          <w:tcPr>
            <w:shd w:val="clear" w:fill="D4E5F5"/>
            <w:tcW w:w="2778" w:type="dxa"/>
            <w:vAlign w:val="top"/>
          </w:tcPr>
          <w:p>
            <w:pPr>
              <w:pStyle w:val="TableText"/>
              <w:ind w:left="1011"/>
              <w:spacing w:before="60" w:line="215" w:lineRule="exact"/>
              <w:rPr/>
            </w:pPr>
            <w:r>
              <w:rPr>
                <w:color w:val="231F20"/>
                <w:spacing w:val="-10"/>
              </w:rPr>
              <w:t>3022537.9</w:t>
            </w:r>
          </w:p>
        </w:tc>
      </w:tr>
      <w:tr>
        <w:trPr>
          <w:trHeight w:val="291" w:hRule="atLeast"/>
        </w:trPr>
        <w:tc>
          <w:tcPr>
            <w:shd w:val="clear" w:fill="D4E5F5"/>
            <w:tcW w:w="3297" w:type="dxa"/>
            <w:vAlign w:val="top"/>
          </w:tcPr>
          <w:p>
            <w:pPr>
              <w:pStyle w:val="TableText"/>
              <w:ind w:left="1268"/>
              <w:spacing w:before="72" w:line="208" w:lineRule="exact"/>
              <w:rPr/>
            </w:pPr>
            <w:r>
              <w:rPr>
                <w:color w:val="231F20"/>
                <w:spacing w:val="-1"/>
                <w:position w:val="-1"/>
              </w:rPr>
              <w:t>储蓄存款</w:t>
            </w:r>
          </w:p>
        </w:tc>
        <w:tc>
          <w:tcPr>
            <w:tcW w:w="2712" w:type="dxa"/>
            <w:vAlign w:val="top"/>
          </w:tcPr>
          <w:p>
            <w:pPr>
              <w:pStyle w:val="TableText"/>
              <w:ind w:left="968"/>
              <w:spacing w:before="68" w:line="212" w:lineRule="exact"/>
              <w:rPr/>
            </w:pPr>
            <w:r>
              <w:rPr>
                <w:color w:val="231F20"/>
                <w:spacing w:val="-11"/>
              </w:rPr>
              <w:t>1219510.0</w:t>
            </w:r>
          </w:p>
        </w:tc>
        <w:tc>
          <w:tcPr>
            <w:shd w:val="clear" w:fill="D4E5F5"/>
            <w:tcW w:w="2778" w:type="dxa"/>
            <w:vAlign w:val="top"/>
          </w:tcPr>
          <w:p>
            <w:pPr>
              <w:pStyle w:val="TableText"/>
              <w:ind w:left="1023"/>
              <w:spacing w:before="68" w:line="212" w:lineRule="exact"/>
              <w:rPr/>
            </w:pPr>
            <w:r>
              <w:rPr>
                <w:color w:val="231F20"/>
                <w:spacing w:val="-11"/>
              </w:rPr>
              <w:t>1351993.1</w:t>
            </w:r>
          </w:p>
        </w:tc>
      </w:tr>
      <w:tr>
        <w:trPr>
          <w:trHeight w:val="290" w:hRule="atLeast"/>
        </w:trPr>
        <w:tc>
          <w:tcPr>
            <w:shd w:val="clear" w:fill="D4E5F5"/>
            <w:tcW w:w="3297" w:type="dxa"/>
            <w:vAlign w:val="top"/>
          </w:tcPr>
          <w:p>
            <w:pPr>
              <w:pStyle w:val="TableText"/>
              <w:ind w:left="1001"/>
              <w:spacing w:before="74" w:line="206" w:lineRule="exact"/>
              <w:rPr/>
            </w:pPr>
            <w:r>
              <w:rPr>
                <w:color w:val="231F20"/>
                <w:spacing w:val="-1"/>
                <w:position w:val="-1"/>
              </w:rPr>
              <w:t>非金融企业存款</w:t>
            </w:r>
          </w:p>
        </w:tc>
        <w:tc>
          <w:tcPr>
            <w:tcW w:w="2712" w:type="dxa"/>
            <w:vAlign w:val="top"/>
          </w:tcPr>
          <w:p>
            <w:pPr>
              <w:pStyle w:val="TableText"/>
              <w:ind w:left="1041"/>
              <w:spacing w:before="71" w:line="209" w:lineRule="exact"/>
              <w:rPr/>
            </w:pPr>
            <w:r>
              <w:rPr>
                <w:color w:val="231F20"/>
                <w:spacing w:val="-10"/>
              </w:rPr>
              <w:t>787756.2</w:t>
            </w:r>
          </w:p>
        </w:tc>
        <w:tc>
          <w:tcPr>
            <w:shd w:val="clear" w:fill="D4E5F5"/>
            <w:tcW w:w="2778" w:type="dxa"/>
            <w:vAlign w:val="top"/>
          </w:tcPr>
          <w:p>
            <w:pPr>
              <w:pStyle w:val="TableText"/>
              <w:ind w:left="1096"/>
              <w:spacing w:before="71" w:line="209" w:lineRule="exact"/>
              <w:rPr/>
            </w:pPr>
            <w:r>
              <w:rPr>
                <w:color w:val="231F20"/>
                <w:spacing w:val="-10"/>
              </w:rPr>
              <w:t>783649.1</w:t>
            </w:r>
          </w:p>
        </w:tc>
      </w:tr>
      <w:tr>
        <w:trPr>
          <w:trHeight w:val="302" w:hRule="atLeast"/>
        </w:trPr>
        <w:tc>
          <w:tcPr>
            <w:shd w:val="clear" w:fill="D4E5F5"/>
            <w:tcW w:w="3297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910"/>
              <w:spacing w:before="77" w:line="214" w:lineRule="exact"/>
              <w:rPr/>
            </w:pPr>
            <w:r>
              <w:rPr>
                <w:color w:val="231F20"/>
                <w:spacing w:val="-1"/>
              </w:rPr>
              <w:t>金融机构各项贷款</w:t>
            </w:r>
          </w:p>
        </w:tc>
        <w:tc>
          <w:tcPr>
            <w:tcW w:w="271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953"/>
              <w:spacing w:before="74" w:line="217" w:lineRule="exact"/>
              <w:rPr/>
            </w:pPr>
            <w:r>
              <w:rPr>
                <w:color w:val="231F20"/>
                <w:spacing w:val="-10"/>
              </w:rPr>
              <w:t>2375905.4</w:t>
            </w:r>
          </w:p>
        </w:tc>
        <w:tc>
          <w:tcPr>
            <w:shd w:val="clear" w:fill="D4E5F5"/>
            <w:tcW w:w="277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008"/>
              <w:spacing w:before="74" w:line="217" w:lineRule="exact"/>
              <w:rPr/>
            </w:pPr>
            <w:r>
              <w:rPr>
                <w:color w:val="231F20"/>
                <w:spacing w:val="-10"/>
              </w:rPr>
              <w:t>2556778.2</w:t>
            </w:r>
          </w:p>
        </w:tc>
      </w:tr>
    </w:tbl>
    <w:p>
      <w:pPr>
        <w:pStyle w:val="BodyText"/>
        <w:ind w:left="21" w:firstLine="330"/>
        <w:spacing w:before="158" w:line="183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1"/>
        </w:rPr>
        <w:t>注：自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"/>
        </w:rPr>
        <w:t>2023</w:t>
      </w:r>
      <w:r>
        <w:rPr>
          <w:sz w:val="18"/>
          <w:szCs w:val="18"/>
          <w:color w:val="231F20"/>
          <w:spacing w:val="1"/>
        </w:rPr>
        <w:t>年</w:t>
      </w:r>
      <w:r>
        <w:rPr>
          <w:sz w:val="18"/>
          <w:szCs w:val="18"/>
          <w:color w:val="231F20"/>
          <w:spacing w:val="-17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1"/>
        </w:rPr>
        <w:t>1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7"/>
        </w:rPr>
        <w:t xml:space="preserve"> </w:t>
      </w:r>
      <w:r>
        <w:rPr>
          <w:sz w:val="18"/>
          <w:szCs w:val="18"/>
          <w:color w:val="231F20"/>
          <w:spacing w:val="1"/>
        </w:rPr>
        <w:t>月起，中国人民银行将消费金</w:t>
      </w:r>
      <w:r>
        <w:rPr>
          <w:sz w:val="18"/>
          <w:szCs w:val="18"/>
          <w:color w:val="231F20"/>
        </w:rPr>
        <w:t>融公司、理财公司和金融资产投资公司三类银行业非存款类金 </w:t>
      </w:r>
      <w:r>
        <w:rPr>
          <w:sz w:val="18"/>
          <w:szCs w:val="18"/>
          <w:color w:val="231F20"/>
          <w:spacing w:val="-2"/>
        </w:rPr>
        <w:t>融机构纳入金融统计范围。表中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2023</w:t>
      </w:r>
      <w:r>
        <w:rPr>
          <w:sz w:val="18"/>
          <w:szCs w:val="18"/>
          <w:color w:val="231F20"/>
          <w:spacing w:val="-2"/>
        </w:rPr>
        <w:t>年数据均按可比口径计算。</w:t>
      </w:r>
    </w:p>
    <w:p>
      <w:pPr>
        <w:pStyle w:val="BodyText"/>
        <w:ind w:left="354"/>
        <w:spacing w:before="35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pStyle w:val="BodyText"/>
        <w:ind w:left="429"/>
        <w:spacing w:before="196" w:line="197" w:lineRule="auto"/>
        <w:rPr/>
      </w:pPr>
      <w:r>
        <w:rPr>
          <w:color w:val="174B8B"/>
        </w:rPr>
        <w:t>附表 </w:t>
      </w:r>
      <w:r>
        <w:rPr>
          <w:rFonts w:ascii="Times New Roman" w:hAnsi="Times New Roman" w:eastAsia="Times New Roman" w:cs="Times New Roman"/>
          <w:b/>
          <w:bCs/>
          <w:color w:val="174B8B"/>
        </w:rPr>
        <w:t>3         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     </w:t>
      </w:r>
      <w:r>
        <w:rPr>
          <w:color w:val="174B8B"/>
          <w:spacing w:val="-1"/>
        </w:rPr>
        <w:t>主要金融指标（二）</w:t>
      </w:r>
    </w:p>
    <w:p>
      <w:pPr>
        <w:pStyle w:val="BodyText"/>
        <w:ind w:left="3859"/>
        <w:spacing w:line="229" w:lineRule="exact"/>
        <w:rPr/>
      </w:pPr>
      <w:r>
        <w:rPr>
          <w:color w:val="231F20"/>
          <w:spacing w:val="3"/>
          <w:position w:val="-1"/>
        </w:rPr>
        <w:t>（增长率）</w:t>
      </w:r>
    </w:p>
    <w:p>
      <w:pPr>
        <w:pStyle w:val="BodyText"/>
        <w:ind w:left="7532"/>
        <w:spacing w:line="178" w:lineRule="auto"/>
        <w:rPr/>
      </w:pPr>
      <w:r>
        <w:rPr>
          <w:color w:val="231F20"/>
          <w:spacing w:val="-5"/>
        </w:rPr>
        <w:t>单位：%</w:t>
      </w:r>
    </w:p>
    <w:p>
      <w:pPr>
        <w:spacing w:line="38" w:lineRule="exact"/>
        <w:rPr/>
      </w:pPr>
      <w:r/>
    </w:p>
    <w:tbl>
      <w:tblPr>
        <w:tblStyle w:val="TableNormal"/>
        <w:tblW w:w="878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765"/>
        <w:gridCol w:w="1586"/>
        <w:gridCol w:w="1112"/>
        <w:gridCol w:w="1112"/>
        <w:gridCol w:w="1094"/>
        <w:gridCol w:w="1118"/>
      </w:tblGrid>
      <w:tr>
        <w:trPr>
          <w:trHeight w:val="282" w:hRule="atLeast"/>
        </w:trPr>
        <w:tc>
          <w:tcPr>
            <w:tcW w:w="8787" w:type="dxa"/>
            <w:vAlign w:val="top"/>
            <w:gridSpan w:val="6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1259"/>
              <w:spacing w:before="45" w:line="157" w:lineRule="auto"/>
              <w:rPr/>
            </w:pPr>
            <w:r>
              <w:drawing>
                <wp:anchor distT="0" distB="0" distL="0" distR="0" simplePos="0" relativeHeight="25260646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-6726</wp:posOffset>
                  </wp:positionV>
                  <wp:extent cx="5580011" cy="1490396"/>
                  <wp:effectExtent l="0" t="0" r="0" b="0"/>
                  <wp:wrapNone/>
                  <wp:docPr id="712" name="IM 7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2" name="IM 712"/>
                          <pic:cNvPicPr/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80011" cy="1490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9"/>
              </w:rPr>
              <w:t>项           目</w:t>
            </w:r>
            <w:r>
              <w:rPr>
                <w:color w:val="231F20"/>
                <w:spacing w:val="1"/>
              </w:rPr>
              <w:t xml:space="preserve">                            </w:t>
            </w:r>
            <w:r>
              <w:rPr>
                <w:color w:val="231F20"/>
              </w:rPr>
              <w:t xml:space="preserve">                                 </w:t>
            </w:r>
            <w:r>
              <w:rPr>
                <w:color w:val="231F20"/>
                <w:spacing w:val="-9"/>
              </w:rPr>
              <w:t>2023</w:t>
            </w:r>
            <w:r>
              <w:rPr>
                <w:color w:val="231F20"/>
              </w:rPr>
              <w:t xml:space="preserve">                                                            </w:t>
            </w:r>
            <w:r>
              <w:rPr>
                <w:color w:val="231F20"/>
                <w:spacing w:val="-9"/>
              </w:rPr>
              <w:t>2024</w:t>
            </w:r>
          </w:p>
        </w:tc>
      </w:tr>
      <w:tr>
        <w:trPr>
          <w:trHeight w:val="2038" w:hRule="atLeast"/>
        </w:trPr>
        <w:tc>
          <w:tcPr>
            <w:tcW w:w="2765" w:type="dxa"/>
            <w:vAlign w:val="top"/>
            <w:tcBorders>
              <w:bottom w:val="single" w:color="231F20" w:sz="8" w:space="0"/>
              <w:top w:val="single" w:color="231F20" w:sz="4" w:space="0"/>
            </w:tcBorders>
          </w:tcPr>
          <w:p>
            <w:pPr>
              <w:pStyle w:val="TableText"/>
              <w:ind w:left="1527"/>
              <w:spacing w:before="80" w:line="182" w:lineRule="auto"/>
              <w:rPr>
                <w:sz w:val="10"/>
                <w:szCs w:val="10"/>
              </w:rPr>
            </w:pPr>
            <w:r>
              <w:rPr>
                <w:color w:val="231F20"/>
                <w:spacing w:val="-15"/>
                <w:position w:val="1"/>
              </w:rPr>
              <w:t>M</w:t>
            </w:r>
            <w:r>
              <w:rPr>
                <w:sz w:val="10"/>
                <w:szCs w:val="10"/>
                <w:color w:val="231F20"/>
                <w:position w:val="-1"/>
              </w:rPr>
              <w:t>2</w:t>
            </w:r>
          </w:p>
          <w:p>
            <w:pPr>
              <w:pStyle w:val="TableText"/>
              <w:ind w:left="1527" w:right="1053"/>
              <w:spacing w:before="30" w:line="193" w:lineRule="auto"/>
              <w:rPr>
                <w:sz w:val="10"/>
                <w:szCs w:val="10"/>
              </w:rPr>
            </w:pPr>
            <w:r>
              <w:rPr>
                <w:color w:val="231F20"/>
                <w:spacing w:val="-15"/>
                <w:position w:val="1"/>
              </w:rPr>
              <w:t>M</w:t>
            </w:r>
            <w:r>
              <w:rPr>
                <w:sz w:val="10"/>
                <w:szCs w:val="10"/>
                <w:color w:val="231F20"/>
                <w:spacing w:val="-4"/>
                <w:position w:val="-1"/>
              </w:rPr>
              <w:t>1</w:t>
            </w:r>
            <w:r>
              <w:rPr>
                <w:sz w:val="10"/>
                <w:szCs w:val="10"/>
                <w:color w:val="231F20"/>
                <w:position w:val="-1"/>
              </w:rPr>
              <w:t xml:space="preserve"> </w:t>
            </w:r>
            <w:r>
              <w:rPr>
                <w:color w:val="231F20"/>
                <w:spacing w:val="-15"/>
                <w:position w:val="1"/>
              </w:rPr>
              <w:t>M</w:t>
            </w:r>
            <w:r>
              <w:rPr>
                <w:sz w:val="10"/>
                <w:szCs w:val="10"/>
                <w:color w:val="231F20"/>
                <w:spacing w:val="-4"/>
                <w:position w:val="-1"/>
              </w:rPr>
              <w:t>0</w:t>
            </w:r>
          </w:p>
          <w:p>
            <w:pPr>
              <w:pStyle w:val="TableText"/>
              <w:ind w:left="899"/>
              <w:spacing w:line="177" w:lineRule="auto"/>
              <w:rPr/>
            </w:pPr>
            <w:r>
              <w:rPr>
                <w:color w:val="231F20"/>
                <w:spacing w:val="-1"/>
              </w:rPr>
              <w:t>金融机构各项存款</w:t>
            </w:r>
          </w:p>
          <w:p>
            <w:pPr>
              <w:pStyle w:val="TableText"/>
              <w:ind w:left="1257"/>
              <w:spacing w:before="37" w:line="178" w:lineRule="auto"/>
              <w:rPr/>
            </w:pPr>
            <w:r>
              <w:rPr>
                <w:color w:val="231F20"/>
                <w:spacing w:val="-1"/>
              </w:rPr>
              <w:t>储蓄存款</w:t>
            </w:r>
          </w:p>
          <w:p>
            <w:pPr>
              <w:pStyle w:val="TableText"/>
              <w:ind w:left="899" w:right="429" w:firstLine="90"/>
              <w:spacing w:before="36" w:line="177" w:lineRule="auto"/>
              <w:rPr/>
            </w:pPr>
            <w:r>
              <w:rPr>
                <w:color w:val="231F20"/>
                <w:spacing w:val="-1"/>
              </w:rPr>
              <w:t>非金融企业存款</w:t>
            </w:r>
            <w:r>
              <w:rPr>
                <w:color w:val="231F20"/>
              </w:rPr>
              <w:t xml:space="preserve">   </w:t>
            </w:r>
            <w:r>
              <w:rPr>
                <w:color w:val="231F20"/>
                <w:spacing w:val="-1"/>
              </w:rPr>
              <w:t>金融机构各项贷款</w:t>
            </w:r>
          </w:p>
        </w:tc>
        <w:tc>
          <w:tcPr>
            <w:tcW w:w="2698" w:type="dxa"/>
            <w:vAlign w:val="top"/>
            <w:gridSpan w:val="2"/>
            <w:tcBorders>
              <w:bottom w:val="single" w:color="231F20" w:sz="8" w:space="0"/>
              <w:top w:val="single" w:color="231F20" w:sz="4" w:space="0"/>
            </w:tcBorders>
          </w:tcPr>
          <w:p>
            <w:pPr>
              <w:pStyle w:val="TableText"/>
              <w:ind w:left="1778"/>
              <w:spacing w:before="47" w:line="203" w:lineRule="auto"/>
              <w:rPr/>
            </w:pPr>
            <w:r>
              <w:rPr>
                <w:color w:val="231F20"/>
                <w:spacing w:val="-7"/>
              </w:rPr>
              <w:t>9.7</w:t>
            </w:r>
          </w:p>
          <w:p>
            <w:pPr>
              <w:pStyle w:val="TableText"/>
              <w:ind w:left="1793"/>
              <w:spacing w:line="203" w:lineRule="auto"/>
              <w:rPr/>
            </w:pPr>
            <w:r>
              <w:rPr>
                <w:color w:val="231F20"/>
                <w:spacing w:val="-10"/>
              </w:rPr>
              <w:t>1.3</w:t>
            </w:r>
          </w:p>
          <w:p>
            <w:pPr>
              <w:pStyle w:val="TableText"/>
              <w:ind w:left="1780"/>
              <w:spacing w:line="203" w:lineRule="auto"/>
              <w:rPr/>
            </w:pPr>
            <w:r>
              <w:rPr>
                <w:color w:val="231F20"/>
                <w:spacing w:val="-7"/>
              </w:rPr>
              <w:t>8.3</w:t>
            </w:r>
          </w:p>
          <w:p>
            <w:pPr>
              <w:pStyle w:val="TableText"/>
              <w:ind w:left="1704"/>
              <w:spacing w:line="203" w:lineRule="auto"/>
              <w:rPr/>
            </w:pPr>
            <w:r>
              <w:rPr>
                <w:color w:val="231F20"/>
                <w:spacing w:val="-11"/>
              </w:rPr>
              <w:t>10.0</w:t>
            </w:r>
          </w:p>
          <w:p>
            <w:pPr>
              <w:pStyle w:val="TableText"/>
              <w:ind w:left="1704"/>
              <w:spacing w:line="203" w:lineRule="auto"/>
              <w:rPr/>
            </w:pPr>
            <w:r>
              <w:rPr>
                <w:color w:val="231F20"/>
                <w:spacing w:val="-11"/>
              </w:rPr>
              <w:t>13.6</w:t>
            </w:r>
          </w:p>
          <w:p>
            <w:pPr>
              <w:pStyle w:val="TableText"/>
              <w:ind w:left="1779"/>
              <w:spacing w:before="1" w:line="203" w:lineRule="auto"/>
              <w:rPr/>
            </w:pPr>
            <w:r>
              <w:rPr>
                <w:color w:val="231F20"/>
                <w:spacing w:val="-7"/>
              </w:rPr>
              <w:t>5.5</w:t>
            </w:r>
          </w:p>
          <w:p>
            <w:pPr>
              <w:pStyle w:val="TableText"/>
              <w:ind w:left="1704"/>
              <w:spacing w:line="220" w:lineRule="exact"/>
              <w:rPr/>
            </w:pPr>
            <w:r>
              <w:rPr>
                <w:color w:val="231F20"/>
                <w:spacing w:val="-11"/>
              </w:rPr>
              <w:t>10.6</w:t>
            </w:r>
          </w:p>
        </w:tc>
        <w:tc>
          <w:tcPr>
            <w:tcW w:w="3324" w:type="dxa"/>
            <w:vAlign w:val="top"/>
            <w:gridSpan w:val="3"/>
            <w:tcBorders>
              <w:bottom w:val="single" w:color="231F20" w:sz="8" w:space="0"/>
              <w:top w:val="single" w:color="231F20" w:sz="4" w:space="0"/>
            </w:tcBorders>
          </w:tcPr>
          <w:p>
            <w:pPr>
              <w:pStyle w:val="TableText"/>
              <w:ind w:left="1857"/>
              <w:spacing w:before="47" w:line="203" w:lineRule="auto"/>
              <w:rPr/>
            </w:pPr>
            <w:r>
              <w:rPr>
                <w:color w:val="231F20"/>
                <w:spacing w:val="-7"/>
              </w:rPr>
              <w:t>7.3</w:t>
            </w:r>
          </w:p>
          <w:p>
            <w:pPr>
              <w:pStyle w:val="TableText"/>
              <w:ind w:left="1763"/>
              <w:spacing w:line="203" w:lineRule="auto"/>
              <w:rPr/>
            </w:pPr>
            <w:r>
              <w:rPr>
                <w:color w:val="231F20"/>
              </w:rPr>
              <w:t>-1.4</w:t>
            </w:r>
          </w:p>
          <w:p>
            <w:pPr>
              <w:pStyle w:val="TableText"/>
              <w:ind w:left="1784"/>
              <w:spacing w:line="203" w:lineRule="auto"/>
              <w:rPr/>
            </w:pPr>
            <w:r>
              <w:rPr>
                <w:color w:val="231F20"/>
                <w:spacing w:val="-11"/>
              </w:rPr>
              <w:t>13.0</w:t>
            </w:r>
          </w:p>
          <w:p>
            <w:pPr>
              <w:pStyle w:val="TableText"/>
              <w:ind w:left="1859"/>
              <w:spacing w:line="203" w:lineRule="auto"/>
              <w:rPr/>
            </w:pPr>
            <w:r>
              <w:rPr>
                <w:color w:val="231F20"/>
                <w:spacing w:val="-7"/>
              </w:rPr>
              <w:t>6.3</w:t>
            </w:r>
          </w:p>
          <w:p>
            <w:pPr>
              <w:pStyle w:val="TableText"/>
              <w:ind w:left="1784"/>
              <w:spacing w:line="203" w:lineRule="auto"/>
              <w:rPr/>
            </w:pPr>
            <w:r>
              <w:rPr>
                <w:color w:val="231F20"/>
                <w:spacing w:val="-11"/>
              </w:rPr>
              <w:t>10.9</w:t>
            </w:r>
          </w:p>
          <w:p>
            <w:pPr>
              <w:pStyle w:val="TableText"/>
              <w:ind w:left="1763"/>
              <w:spacing w:before="1" w:line="203" w:lineRule="auto"/>
              <w:rPr/>
            </w:pPr>
            <w:r>
              <w:rPr>
                <w:color w:val="231F20"/>
              </w:rPr>
              <w:t>-0.5</w:t>
            </w:r>
          </w:p>
          <w:p>
            <w:pPr>
              <w:pStyle w:val="TableText"/>
              <w:ind w:left="1857"/>
              <w:spacing w:line="220" w:lineRule="exact"/>
              <w:rPr/>
            </w:pPr>
            <w:r>
              <w:rPr>
                <w:color w:val="231F20"/>
                <w:spacing w:val="-7"/>
              </w:rPr>
              <w:t>7.6</w:t>
            </w:r>
          </w:p>
        </w:tc>
      </w:tr>
      <w:tr>
        <w:trPr>
          <w:trHeight w:val="1890" w:hRule="atLeast"/>
        </w:trPr>
        <w:tc>
          <w:tcPr>
            <w:tcW w:w="8787" w:type="dxa"/>
            <w:vAlign w:val="top"/>
            <w:gridSpan w:val="6"/>
            <w:tcBorders>
              <w:bottom w:val="single" w:color="231F20" w:sz="8" w:space="0"/>
              <w:top w:val="single" w:color="231F20" w:sz="8" w:space="0"/>
            </w:tcBorders>
          </w:tcPr>
          <w:p>
            <w:pPr>
              <w:pStyle w:val="TableText"/>
              <w:ind w:left="21" w:firstLine="330"/>
              <w:spacing w:before="176" w:line="166" w:lineRule="auto"/>
              <w:rPr/>
            </w:pPr>
            <w:r>
              <w:rPr>
                <w:color w:val="231F20"/>
                <w:spacing w:val="1"/>
              </w:rPr>
              <w:t>注：自</w:t>
            </w:r>
            <w:r>
              <w:rPr>
                <w:rFonts w:ascii="Times New Roman" w:hAnsi="Times New Roman" w:eastAsia="Times New Roman" w:cs="Times New Roman"/>
                <w:color w:val="231F20"/>
                <w:spacing w:val="1"/>
              </w:rPr>
              <w:t>2023</w:t>
            </w:r>
            <w:r>
              <w:rPr>
                <w:color w:val="231F20"/>
                <w:spacing w:val="1"/>
              </w:rPr>
              <w:t>年</w:t>
            </w:r>
            <w:r>
              <w:rPr>
                <w:color w:val="231F20"/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231F20"/>
                <w:spacing w:val="1"/>
              </w:rPr>
              <w:t>1</w:t>
            </w:r>
            <w:r>
              <w:rPr>
                <w:rFonts w:ascii="Times New Roman" w:hAnsi="Times New Roman" w:eastAsia="Times New Roman" w:cs="Times New Roman"/>
                <w:color w:val="231F20"/>
                <w:spacing w:val="-27"/>
              </w:rPr>
              <w:t xml:space="preserve"> </w:t>
            </w:r>
            <w:r>
              <w:rPr>
                <w:color w:val="231F20"/>
                <w:spacing w:val="1"/>
              </w:rPr>
              <w:t>月起，中国人民银行将消费金</w:t>
            </w:r>
            <w:r>
              <w:rPr>
                <w:color w:val="231F20"/>
              </w:rPr>
              <w:t>融公司、理财公司和金融资产投资公司三类银行业非存款类金 </w:t>
            </w:r>
            <w:r>
              <w:rPr>
                <w:color w:val="231F20"/>
                <w:spacing w:val="-2"/>
              </w:rPr>
              <w:t>融机构纳入金融统计范围。表中</w:t>
            </w:r>
            <w:r>
              <w:rPr>
                <w:rFonts w:ascii="Times New Roman" w:hAnsi="Times New Roman" w:eastAsia="Times New Roman" w:cs="Times New Roman"/>
                <w:color w:val="231F20"/>
                <w:spacing w:val="-2"/>
              </w:rPr>
              <w:t>2023</w:t>
            </w:r>
            <w:r>
              <w:rPr>
                <w:color w:val="231F20"/>
                <w:spacing w:val="-2"/>
              </w:rPr>
              <w:t>年数据均按可比口径计算。</w:t>
            </w:r>
          </w:p>
          <w:p>
            <w:pPr>
              <w:pStyle w:val="TableText"/>
              <w:ind w:left="354"/>
              <w:spacing w:before="1" w:line="197" w:lineRule="auto"/>
              <w:rPr/>
            </w:pPr>
            <w:r>
              <w:rPr>
                <w:color w:val="231F20"/>
                <w:spacing w:val="-3"/>
              </w:rPr>
              <w:t>数据来源：中国人民银行。</w:t>
            </w:r>
          </w:p>
          <w:p>
            <w:pPr>
              <w:pStyle w:val="TableText"/>
              <w:ind w:left="429"/>
              <w:spacing w:before="229" w:line="205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color w:val="174B8B"/>
                <w:spacing w:val="-1"/>
              </w:rPr>
              <w:t>附表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color w:val="174B8B"/>
                <w:spacing w:val="-1"/>
              </w:rPr>
              <w:t>4                                         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color w:val="174B8B"/>
                <w:spacing w:val="-2"/>
              </w:rPr>
              <w:t xml:space="preserve">              </w:t>
            </w:r>
            <w:r>
              <w:rPr>
                <w:sz w:val="21"/>
                <w:szCs w:val="21"/>
                <w:color w:val="174B8B"/>
                <w:spacing w:val="-2"/>
              </w:rPr>
              <w:t>国际流动性</w:t>
            </w:r>
          </w:p>
          <w:p>
            <w:pPr>
              <w:pStyle w:val="TableText"/>
              <w:ind w:left="6867"/>
              <w:spacing w:line="178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color w:val="231F20"/>
                <w:spacing w:val="-1"/>
              </w:rPr>
              <w:t>单位：百万美元</w:t>
            </w:r>
          </w:p>
        </w:tc>
      </w:tr>
      <w:tr>
        <w:trPr>
          <w:trHeight w:val="272" w:hRule="atLeast"/>
        </w:trPr>
        <w:tc>
          <w:tcPr>
            <w:tcW w:w="2765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1258"/>
              <w:spacing w:before="56" w:line="206" w:lineRule="exact"/>
              <w:rPr/>
            </w:pPr>
            <w:r>
              <w:drawing>
                <wp:anchor distT="0" distB="0" distL="0" distR="0" simplePos="0" relativeHeight="252605440" behindDoc="1" locked="0" layoutInCell="1" allowOverlap="1">
                  <wp:simplePos x="0" y="0"/>
                  <wp:positionH relativeFrom="column">
                    <wp:posOffset>6007</wp:posOffset>
                  </wp:positionH>
                  <wp:positionV relativeFrom="paragraph">
                    <wp:posOffset>-4674</wp:posOffset>
                  </wp:positionV>
                  <wp:extent cx="4864036" cy="1490395"/>
                  <wp:effectExtent l="0" t="0" r="0" b="0"/>
                  <wp:wrapNone/>
                  <wp:docPr id="714" name="IM 7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4" name="IM 714"/>
                          <pic:cNvPicPr/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864036" cy="1490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586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837"/>
              <w:spacing w:before="48" w:line="214" w:lineRule="exact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1112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363"/>
              <w:spacing w:before="48" w:line="214" w:lineRule="exact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tcW w:w="1112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364"/>
              <w:spacing w:before="48" w:line="214" w:lineRule="exact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1094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364"/>
              <w:spacing w:before="48" w:line="214" w:lineRule="exact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tcW w:w="1118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382"/>
              <w:spacing w:before="48" w:line="214" w:lineRule="exact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</w:tr>
      <w:tr>
        <w:trPr>
          <w:trHeight w:val="282" w:hRule="atLeast"/>
        </w:trPr>
        <w:tc>
          <w:tcPr>
            <w:tcW w:w="276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6"/>
              <w:spacing w:before="63" w:line="209" w:lineRule="exact"/>
              <w:rPr/>
            </w:pPr>
            <w:r>
              <w:rPr>
                <w:color w:val="231F20"/>
                <w:spacing w:val="-1"/>
                <w:position w:val="-1"/>
              </w:rPr>
              <w:t>总储备（减黄金）</w:t>
            </w:r>
          </w:p>
        </w:tc>
        <w:tc>
          <w:tcPr>
            <w:tcW w:w="158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23"/>
              <w:spacing w:before="60" w:line="212" w:lineRule="exact"/>
              <w:rPr/>
            </w:pPr>
            <w:r>
              <w:rPr>
                <w:color w:val="231F20"/>
                <w:spacing w:val="-11"/>
              </w:rPr>
              <w:t>3238782</w:t>
            </w:r>
          </w:p>
        </w:tc>
        <w:tc>
          <w:tcPr>
            <w:tcW w:w="111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49"/>
              <w:spacing w:before="60" w:line="212" w:lineRule="exact"/>
              <w:rPr/>
            </w:pPr>
            <w:r>
              <w:rPr>
                <w:color w:val="231F20"/>
                <w:spacing w:val="-11"/>
              </w:rPr>
              <w:t>3313920</w:t>
            </w:r>
          </w:p>
        </w:tc>
        <w:tc>
          <w:tcPr>
            <w:tcW w:w="111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49"/>
              <w:spacing w:before="60" w:line="212" w:lineRule="exact"/>
              <w:rPr/>
            </w:pPr>
            <w:r>
              <w:rPr>
                <w:color w:val="231F20"/>
                <w:spacing w:val="-11"/>
              </w:rPr>
              <w:t>3189689</w:t>
            </w:r>
          </w:p>
        </w:tc>
        <w:tc>
          <w:tcPr>
            <w:tcW w:w="109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0"/>
              <w:spacing w:before="60" w:line="212" w:lineRule="exact"/>
              <w:rPr/>
            </w:pPr>
            <w:r>
              <w:rPr>
                <w:color w:val="231F20"/>
                <w:spacing w:val="-11"/>
              </w:rPr>
              <w:t>3301320</w:t>
            </w:r>
          </w:p>
        </w:tc>
        <w:tc>
          <w:tcPr>
            <w:tcW w:w="111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68"/>
              <w:spacing w:before="60" w:line="212" w:lineRule="exact"/>
              <w:rPr/>
            </w:pPr>
            <w:r>
              <w:rPr>
                <w:color w:val="231F20"/>
                <w:spacing w:val="-11"/>
              </w:rPr>
              <w:t>3264803</w:t>
            </w:r>
          </w:p>
        </w:tc>
      </w:tr>
      <w:tr>
        <w:trPr>
          <w:trHeight w:val="291" w:hRule="atLeast"/>
        </w:trPr>
        <w:tc>
          <w:tcPr>
            <w:tcW w:w="2765" w:type="dxa"/>
            <w:vAlign w:val="top"/>
          </w:tcPr>
          <w:p>
            <w:pPr>
              <w:pStyle w:val="TableText"/>
              <w:ind w:left="431"/>
              <w:spacing w:before="75" w:line="206" w:lineRule="exact"/>
              <w:rPr/>
            </w:pPr>
            <w:r>
              <w:rPr>
                <w:color w:val="231F20"/>
                <w:spacing w:val="-1"/>
                <w:position w:val="-1"/>
              </w:rPr>
              <w:t>特别提款权</w:t>
            </w:r>
          </w:p>
        </w:tc>
        <w:tc>
          <w:tcPr>
            <w:tcW w:w="1586" w:type="dxa"/>
            <w:vAlign w:val="top"/>
          </w:tcPr>
          <w:p>
            <w:pPr>
              <w:pStyle w:val="TableText"/>
              <w:ind w:left="913"/>
              <w:spacing w:before="71" w:line="210" w:lineRule="exact"/>
              <w:rPr/>
            </w:pPr>
            <w:r>
              <w:rPr>
                <w:color w:val="231F20"/>
                <w:spacing w:val="-12"/>
              </w:rPr>
              <w:t>11495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426"/>
              <w:spacing w:before="71" w:line="210" w:lineRule="exact"/>
              <w:rPr/>
            </w:pPr>
            <w:r>
              <w:rPr>
                <w:color w:val="231F20"/>
                <w:spacing w:val="-10"/>
              </w:rPr>
              <w:t>53065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426"/>
              <w:spacing w:before="71" w:line="210" w:lineRule="exact"/>
              <w:rPr/>
            </w:pPr>
            <w:r>
              <w:rPr>
                <w:color w:val="231F20"/>
                <w:spacing w:val="-10"/>
              </w:rPr>
              <w:t>51159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426"/>
              <w:spacing w:before="71" w:line="210" w:lineRule="exact"/>
              <w:rPr/>
            </w:pPr>
            <w:r>
              <w:rPr>
                <w:color w:val="231F20"/>
                <w:spacing w:val="-10"/>
              </w:rPr>
              <w:t>53596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ind w:left="444"/>
              <w:spacing w:before="71" w:line="210" w:lineRule="exact"/>
              <w:rPr/>
            </w:pPr>
            <w:r>
              <w:rPr>
                <w:color w:val="231F20"/>
                <w:spacing w:val="-10"/>
              </w:rPr>
              <w:t>52688</w:t>
            </w:r>
          </w:p>
        </w:tc>
      </w:tr>
      <w:tr>
        <w:trPr>
          <w:trHeight w:val="294" w:hRule="atLeast"/>
        </w:trPr>
        <w:tc>
          <w:tcPr>
            <w:tcW w:w="2765" w:type="dxa"/>
            <w:vAlign w:val="top"/>
          </w:tcPr>
          <w:p>
            <w:pPr>
              <w:pStyle w:val="TableText"/>
              <w:ind w:left="431"/>
              <w:spacing w:before="77" w:line="206" w:lineRule="exact"/>
              <w:rPr/>
            </w:pPr>
            <w:r>
              <w:rPr>
                <w:color w:val="231F20"/>
                <w:spacing w:val="-1"/>
                <w:position w:val="-1"/>
              </w:rPr>
              <w:t>在基金组织储备头寸</w:t>
            </w:r>
          </w:p>
        </w:tc>
        <w:tc>
          <w:tcPr>
            <w:tcW w:w="1586" w:type="dxa"/>
            <w:vAlign w:val="top"/>
          </w:tcPr>
          <w:p>
            <w:pPr>
              <w:pStyle w:val="TableText"/>
              <w:ind w:left="913"/>
              <w:spacing w:before="73" w:line="210" w:lineRule="exact"/>
              <w:rPr/>
            </w:pPr>
            <w:r>
              <w:rPr>
                <w:color w:val="231F20"/>
                <w:spacing w:val="-12"/>
              </w:rPr>
              <w:t>10765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440"/>
              <w:spacing w:before="73" w:line="210" w:lineRule="exact"/>
              <w:rPr/>
            </w:pPr>
            <w:r>
              <w:rPr>
                <w:color w:val="231F20"/>
                <w:spacing w:val="-12"/>
              </w:rPr>
              <w:t>10689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440"/>
              <w:spacing w:before="73" w:line="210" w:lineRule="exact"/>
              <w:rPr/>
            </w:pPr>
            <w:r>
              <w:rPr>
                <w:color w:val="231F20"/>
                <w:spacing w:val="-12"/>
              </w:rPr>
              <w:t>10839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515"/>
              <w:spacing w:before="73" w:line="210" w:lineRule="exact"/>
              <w:rPr/>
            </w:pPr>
            <w:r>
              <w:rPr>
                <w:color w:val="231F20"/>
                <w:spacing w:val="-9"/>
              </w:rPr>
              <w:t>9747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ind w:left="533"/>
              <w:spacing w:before="73" w:line="210" w:lineRule="exact"/>
              <w:rPr/>
            </w:pPr>
            <w:r>
              <w:rPr>
                <w:color w:val="231F20"/>
                <w:spacing w:val="-9"/>
              </w:rPr>
              <w:t>9758</w:t>
            </w:r>
          </w:p>
        </w:tc>
      </w:tr>
      <w:tr>
        <w:trPr>
          <w:trHeight w:val="291" w:hRule="atLeast"/>
        </w:trPr>
        <w:tc>
          <w:tcPr>
            <w:tcW w:w="2765" w:type="dxa"/>
            <w:vAlign w:val="top"/>
          </w:tcPr>
          <w:p>
            <w:pPr>
              <w:pStyle w:val="TableText"/>
              <w:ind w:left="429"/>
              <w:spacing w:before="78" w:line="203" w:lineRule="exact"/>
              <w:rPr/>
            </w:pPr>
            <w:r>
              <w:rPr>
                <w:color w:val="231F20"/>
                <w:spacing w:val="-1"/>
                <w:position w:val="-1"/>
              </w:rPr>
              <w:t>外汇</w:t>
            </w:r>
          </w:p>
        </w:tc>
        <w:tc>
          <w:tcPr>
            <w:tcW w:w="1586" w:type="dxa"/>
            <w:vAlign w:val="top"/>
          </w:tcPr>
          <w:p>
            <w:pPr>
              <w:pStyle w:val="TableText"/>
              <w:ind w:left="723"/>
              <w:spacing w:before="73" w:line="208" w:lineRule="exact"/>
              <w:rPr/>
            </w:pPr>
            <w:r>
              <w:rPr>
                <w:color w:val="231F20"/>
                <w:spacing w:val="-11"/>
              </w:rPr>
              <w:t>3216522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49"/>
              <w:spacing w:before="73" w:line="208" w:lineRule="exact"/>
              <w:rPr/>
            </w:pPr>
            <w:r>
              <w:rPr>
                <w:color w:val="231F20"/>
                <w:spacing w:val="-11"/>
              </w:rPr>
              <w:t>3250166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249"/>
              <w:spacing w:before="73" w:line="208" w:lineRule="exact"/>
              <w:rPr/>
            </w:pPr>
            <w:r>
              <w:rPr>
                <w:color w:val="231F20"/>
                <w:spacing w:val="-11"/>
              </w:rPr>
              <w:t>3127691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250"/>
              <w:spacing w:before="73" w:line="208" w:lineRule="exact"/>
              <w:rPr/>
            </w:pPr>
            <w:r>
              <w:rPr>
                <w:color w:val="231F20"/>
                <w:spacing w:val="-11"/>
              </w:rPr>
              <w:t>3237977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ind w:left="268"/>
              <w:spacing w:before="73" w:line="208" w:lineRule="exact"/>
              <w:rPr/>
            </w:pPr>
            <w:r>
              <w:rPr>
                <w:color w:val="231F20"/>
                <w:spacing w:val="-11"/>
              </w:rPr>
              <w:t>3202357</w:t>
            </w:r>
          </w:p>
        </w:tc>
      </w:tr>
      <w:tr>
        <w:trPr>
          <w:trHeight w:val="293" w:hRule="atLeast"/>
        </w:trPr>
        <w:tc>
          <w:tcPr>
            <w:tcW w:w="2765" w:type="dxa"/>
            <w:vAlign w:val="top"/>
          </w:tcPr>
          <w:p>
            <w:pPr>
              <w:pStyle w:val="TableText"/>
              <w:ind w:left="72"/>
              <w:spacing w:before="80" w:line="202" w:lineRule="exact"/>
              <w:rPr/>
            </w:pPr>
            <w:r>
              <w:rPr>
                <w:color w:val="231F20"/>
                <w:position w:val="-2"/>
              </w:rPr>
              <w:t>黄金（万盎司）</w:t>
            </w:r>
          </w:p>
        </w:tc>
        <w:tc>
          <w:tcPr>
            <w:tcW w:w="1586" w:type="dxa"/>
            <w:vAlign w:val="top"/>
          </w:tcPr>
          <w:p>
            <w:pPr>
              <w:pStyle w:val="TableText"/>
              <w:ind w:left="989"/>
              <w:spacing w:before="75" w:line="207" w:lineRule="exact"/>
              <w:rPr/>
            </w:pPr>
            <w:r>
              <w:rPr>
                <w:color w:val="231F20"/>
                <w:spacing w:val="-10"/>
              </w:rPr>
              <w:t>6264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515"/>
              <w:spacing w:before="75" w:line="207" w:lineRule="exact"/>
              <w:rPr/>
            </w:pPr>
            <w:r>
              <w:rPr>
                <w:color w:val="231F20"/>
                <w:spacing w:val="-10"/>
              </w:rPr>
              <w:t>6264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515"/>
              <w:spacing w:before="75" w:line="207" w:lineRule="exact"/>
              <w:rPr/>
            </w:pPr>
            <w:r>
              <w:rPr>
                <w:color w:val="231F20"/>
                <w:spacing w:val="-10"/>
              </w:rPr>
              <w:t>6464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513"/>
              <w:spacing w:before="75" w:line="207" w:lineRule="exact"/>
              <w:rPr/>
            </w:pPr>
            <w:r>
              <w:rPr>
                <w:color w:val="231F20"/>
                <w:spacing w:val="-9"/>
              </w:rPr>
              <w:t>7187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ind w:left="532"/>
              <w:spacing w:before="75" w:line="207" w:lineRule="exact"/>
              <w:rPr/>
            </w:pPr>
            <w:r>
              <w:rPr>
                <w:color w:val="231F20"/>
                <w:spacing w:val="-9"/>
              </w:rPr>
              <w:t>7329</w:t>
            </w:r>
          </w:p>
        </w:tc>
      </w:tr>
      <w:tr>
        <w:trPr>
          <w:trHeight w:val="292" w:hRule="atLeast"/>
        </w:trPr>
        <w:tc>
          <w:tcPr>
            <w:tcW w:w="2765" w:type="dxa"/>
            <w:vAlign w:val="top"/>
          </w:tcPr>
          <w:p>
            <w:pPr>
              <w:pStyle w:val="TableText"/>
              <w:ind w:left="72"/>
              <w:spacing w:before="80" w:line="201" w:lineRule="exact"/>
              <w:rPr/>
            </w:pPr>
            <w:r>
              <w:rPr>
                <w:color w:val="231F20"/>
                <w:position w:val="-2"/>
              </w:rPr>
              <w:t>黄金（折价）</w:t>
            </w:r>
          </w:p>
        </w:tc>
        <w:tc>
          <w:tcPr>
            <w:tcW w:w="1586" w:type="dxa"/>
            <w:vAlign w:val="top"/>
          </w:tcPr>
          <w:p>
            <w:pPr>
              <w:pStyle w:val="TableText"/>
              <w:ind w:left="824"/>
              <w:spacing w:before="76" w:line="205" w:lineRule="exact"/>
              <w:rPr/>
            </w:pPr>
            <w:r>
              <w:rPr>
                <w:color w:val="231F20"/>
                <w:spacing w:val="-12"/>
              </w:rPr>
              <w:t>118246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350"/>
              <w:spacing w:before="76" w:line="205" w:lineRule="exact"/>
              <w:rPr/>
            </w:pPr>
            <w:r>
              <w:rPr>
                <w:color w:val="231F20"/>
                <w:spacing w:val="-12"/>
              </w:rPr>
              <w:t>113125</w:t>
            </w:r>
          </w:p>
        </w:tc>
        <w:tc>
          <w:tcPr>
            <w:tcW w:w="1112" w:type="dxa"/>
            <w:vAlign w:val="top"/>
          </w:tcPr>
          <w:p>
            <w:pPr>
              <w:pStyle w:val="TableText"/>
              <w:ind w:left="351"/>
              <w:spacing w:before="76" w:line="205" w:lineRule="exact"/>
              <w:rPr/>
            </w:pPr>
            <w:r>
              <w:rPr>
                <w:color w:val="231F20"/>
                <w:spacing w:val="-12"/>
              </w:rPr>
              <w:t>117235</w:t>
            </w:r>
          </w:p>
        </w:tc>
        <w:tc>
          <w:tcPr>
            <w:tcW w:w="1094" w:type="dxa"/>
            <w:vAlign w:val="top"/>
          </w:tcPr>
          <w:p>
            <w:pPr>
              <w:pStyle w:val="TableText"/>
              <w:ind w:left="351"/>
              <w:spacing w:before="76" w:line="205" w:lineRule="exact"/>
              <w:rPr/>
            </w:pPr>
            <w:r>
              <w:rPr>
                <w:color w:val="231F20"/>
                <w:spacing w:val="-12"/>
              </w:rPr>
              <w:t>148226</w:t>
            </w:r>
          </w:p>
        </w:tc>
        <w:tc>
          <w:tcPr>
            <w:tcW w:w="1118" w:type="dxa"/>
            <w:vAlign w:val="top"/>
          </w:tcPr>
          <w:p>
            <w:pPr>
              <w:pStyle w:val="TableText"/>
              <w:ind w:left="369"/>
              <w:spacing w:before="76" w:line="205" w:lineRule="exact"/>
              <w:rPr/>
            </w:pPr>
            <w:r>
              <w:rPr>
                <w:color w:val="231F20"/>
                <w:spacing w:val="-12"/>
              </w:rPr>
              <w:t>191337</w:t>
            </w:r>
          </w:p>
        </w:tc>
      </w:tr>
      <w:tr>
        <w:trPr>
          <w:trHeight w:val="304" w:hRule="atLeast"/>
        </w:trPr>
        <w:tc>
          <w:tcPr>
            <w:tcW w:w="276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9"/>
              <w:spacing w:before="80" w:line="213" w:lineRule="exact"/>
              <w:rPr/>
            </w:pPr>
            <w:r>
              <w:rPr>
                <w:color w:val="231F20"/>
                <w:spacing w:val="-1"/>
              </w:rPr>
              <w:t>其他存款性公司国外负债</w:t>
            </w:r>
          </w:p>
        </w:tc>
        <w:tc>
          <w:tcPr>
            <w:tcW w:w="158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809"/>
              <w:spacing w:before="77" w:line="216" w:lineRule="exact"/>
              <w:rPr/>
            </w:pPr>
            <w:r>
              <w:rPr>
                <w:color w:val="231F20"/>
                <w:spacing w:val="-10"/>
              </w:rPr>
              <w:t>255007</w:t>
            </w:r>
          </w:p>
        </w:tc>
        <w:tc>
          <w:tcPr>
            <w:tcW w:w="111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36"/>
              <w:spacing w:before="77" w:line="216" w:lineRule="exact"/>
              <w:rPr/>
            </w:pPr>
            <w:r>
              <w:rPr>
                <w:color w:val="231F20"/>
                <w:spacing w:val="-10"/>
              </w:rPr>
              <w:t>235197</w:t>
            </w:r>
          </w:p>
        </w:tc>
        <w:tc>
          <w:tcPr>
            <w:tcW w:w="111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36"/>
              <w:spacing w:before="77" w:line="216" w:lineRule="exact"/>
              <w:rPr/>
            </w:pPr>
            <w:r>
              <w:rPr>
                <w:color w:val="231F20"/>
                <w:spacing w:val="-10"/>
              </w:rPr>
              <w:t>208876</w:t>
            </w:r>
          </w:p>
        </w:tc>
        <w:tc>
          <w:tcPr>
            <w:tcW w:w="109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36"/>
              <w:spacing w:before="77" w:line="216" w:lineRule="exact"/>
              <w:rPr/>
            </w:pPr>
            <w:r>
              <w:rPr>
                <w:color w:val="231F20"/>
                <w:spacing w:val="-10"/>
              </w:rPr>
              <w:t>213112</w:t>
            </w:r>
          </w:p>
        </w:tc>
        <w:tc>
          <w:tcPr>
            <w:tcW w:w="111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69"/>
              <w:spacing w:before="77" w:line="216" w:lineRule="exact"/>
              <w:rPr/>
            </w:pPr>
            <w:r>
              <w:rPr>
                <w:color w:val="231F20"/>
                <w:spacing w:val="-12"/>
              </w:rPr>
              <w:t>168286</w:t>
            </w:r>
          </w:p>
        </w:tc>
      </w:tr>
    </w:tbl>
    <w:p>
      <w:pPr>
        <w:pStyle w:val="BodyText"/>
        <w:ind w:left="354"/>
        <w:spacing w:before="166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spacing w:line="198" w:lineRule="auto"/>
        <w:sectPr>
          <w:headerReference w:type="default" r:id="rId366"/>
          <w:pgSz w:w="11906" w:h="16158"/>
          <w:pgMar w:top="1367" w:right="1700" w:bottom="400" w:left="1417" w:header="1044" w:footer="0" w:gutter="0"/>
        </w:sectPr>
        <w:rPr>
          <w:sz w:val="18"/>
          <w:szCs w:val="18"/>
        </w:rPr>
      </w:pPr>
    </w:p>
    <w:p>
      <w:pPr>
        <w:spacing w:before="125"/>
        <w:rPr/>
      </w:pPr>
      <w:r/>
    </w:p>
    <w:p>
      <w:pPr>
        <w:sectPr>
          <w:headerReference w:type="default" r:id="rId369"/>
          <w:pgSz w:w="11906" w:h="16158"/>
          <w:pgMar w:top="1383" w:right="1417" w:bottom="400" w:left="1700" w:header="1060" w:footer="0" w:gutter="0"/>
          <w:cols w:equalWidth="0" w:num="1">
            <w:col w:w="8788" w:space="0"/>
          </w:cols>
        </w:sectPr>
        <w:rPr/>
      </w:pPr>
    </w:p>
    <w:p>
      <w:pPr>
        <w:pStyle w:val="BodyText"/>
        <w:ind w:left="429"/>
        <w:spacing w:before="50" w:line="180" w:lineRule="auto"/>
        <w:rPr>
          <w:rFonts w:ascii="Times New Roman" w:hAnsi="Times New Roman" w:eastAsia="Times New Roman" w:cs="Times New Roman"/>
        </w:rPr>
      </w:pPr>
      <w:r>
        <w:rPr>
          <w:color w:val="174B8B"/>
          <w:spacing w:val="-8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  <w:spacing w:val="-8"/>
        </w:rPr>
        <w:t>5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before="75" w:line="164" w:lineRule="auto"/>
        <w:rPr/>
      </w:pPr>
      <w:r>
        <w:rPr>
          <w:color w:val="174B8B"/>
          <w:spacing w:val="-2"/>
        </w:rPr>
        <w:t>黄金、外汇储备</w:t>
      </w:r>
    </w:p>
    <w:p>
      <w:pPr>
        <w:spacing w:line="164" w:lineRule="auto"/>
        <w:sectPr>
          <w:type w:val="continuous"/>
          <w:pgSz w:w="11906" w:h="16158"/>
          <w:pgMar w:top="1383" w:right="1417" w:bottom="400" w:left="1700" w:header="1060" w:footer="0" w:gutter="0"/>
          <w:cols w:equalWidth="0" w:num="2">
            <w:col w:w="3558" w:space="100"/>
            <w:col w:w="5131" w:space="0"/>
          </w:cols>
        </w:sectPr>
        <w:rPr/>
      </w:pPr>
    </w:p>
    <w:p>
      <w:pPr>
        <w:spacing w:line="76" w:lineRule="exact"/>
        <w:rPr/>
      </w:pPr>
      <w:r/>
    </w:p>
    <w:tbl>
      <w:tblPr>
        <w:tblStyle w:val="TableNormal"/>
        <w:tblW w:w="878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47"/>
        <w:gridCol w:w="837"/>
        <w:gridCol w:w="608"/>
        <w:gridCol w:w="97"/>
        <w:gridCol w:w="2940"/>
        <w:gridCol w:w="2358"/>
      </w:tblGrid>
      <w:tr>
        <w:trPr>
          <w:trHeight w:val="579" w:hRule="atLeast"/>
        </w:trPr>
        <w:tc>
          <w:tcPr>
            <w:tcW w:w="1947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846"/>
              <w:spacing w:before="199" w:line="176" w:lineRule="auto"/>
              <w:rPr/>
            </w:pPr>
            <w:r>
              <w:drawing>
                <wp:anchor distT="0" distB="0" distL="0" distR="0" simplePos="0" relativeHeight="25261772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-6232</wp:posOffset>
                  </wp:positionV>
                  <wp:extent cx="4082402" cy="4790097"/>
                  <wp:effectExtent l="0" t="0" r="0" b="0"/>
                  <wp:wrapNone/>
                  <wp:docPr id="716" name="IM 7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16" name="IM 716"/>
                          <pic:cNvPicPr/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082402" cy="479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年份</w:t>
            </w:r>
          </w:p>
        </w:tc>
        <w:tc>
          <w:tcPr>
            <w:tcW w:w="1542" w:type="dxa"/>
            <w:vAlign w:val="top"/>
            <w:gridSpan w:val="3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760"/>
              <w:spacing w:before="78" w:line="168" w:lineRule="auto"/>
              <w:rPr/>
            </w:pPr>
            <w:r>
              <w:rPr>
                <w:color w:val="231F20"/>
                <w:spacing w:val="-2"/>
              </w:rPr>
              <w:t>黄金储备</w:t>
            </w:r>
          </w:p>
          <w:p>
            <w:pPr>
              <w:pStyle w:val="TableText"/>
              <w:spacing w:line="172" w:lineRule="auto"/>
              <w:jc w:val="right"/>
              <w:rPr/>
            </w:pPr>
            <w:r>
              <w:rPr>
                <w:color w:val="231F20"/>
                <w:spacing w:val="-3"/>
              </w:rPr>
              <w:t>（万盎司）</w:t>
            </w:r>
          </w:p>
        </w:tc>
        <w:tc>
          <w:tcPr>
            <w:tcW w:w="2940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1409"/>
              <w:spacing w:before="78" w:line="165" w:lineRule="auto"/>
              <w:rPr/>
            </w:pPr>
            <w:r>
              <w:rPr>
                <w:color w:val="231F20"/>
                <w:spacing w:val="-1"/>
              </w:rPr>
              <w:t>外汇储备</w:t>
            </w:r>
          </w:p>
          <w:p>
            <w:pPr>
              <w:pStyle w:val="TableText"/>
              <w:ind w:left="1308"/>
              <w:spacing w:line="175" w:lineRule="auto"/>
              <w:rPr/>
            </w:pPr>
            <w:r>
              <w:rPr>
                <w:color w:val="231F20"/>
                <w:spacing w:val="3"/>
              </w:rPr>
              <w:t>（亿美元）</w:t>
            </w:r>
          </w:p>
        </w:tc>
        <w:tc>
          <w:tcPr>
            <w:tcW w:w="2358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372"/>
              <w:spacing w:before="77" w:line="164" w:lineRule="auto"/>
              <w:rPr/>
            </w:pPr>
            <w:r>
              <w:rPr>
                <w:color w:val="231F20"/>
                <w:spacing w:val="-1"/>
              </w:rPr>
              <w:t>外汇储备比上年增长</w:t>
            </w:r>
          </w:p>
          <w:p>
            <w:pPr>
              <w:pStyle w:val="TableText"/>
              <w:ind w:left="916"/>
              <w:spacing w:line="176" w:lineRule="auto"/>
              <w:rPr/>
            </w:pPr>
            <w:r>
              <w:rPr>
                <w:color w:val="231F20"/>
                <w:spacing w:val="-1"/>
              </w:rPr>
              <w:t>（%）</w:t>
            </w:r>
          </w:p>
        </w:tc>
      </w:tr>
      <w:tr>
        <w:trPr>
          <w:trHeight w:val="308" w:hRule="atLeast"/>
        </w:trPr>
        <w:tc>
          <w:tcPr>
            <w:tcW w:w="2784" w:type="dxa"/>
            <w:vAlign w:val="top"/>
            <w:gridSpan w:val="2"/>
            <w:tcBorders>
              <w:top w:val="single" w:color="231F20" w:sz="4" w:space="0"/>
            </w:tcBorders>
          </w:tcPr>
          <w:p>
            <w:pPr>
              <w:pStyle w:val="TableText"/>
              <w:ind w:left="846"/>
              <w:spacing w:before="58" w:line="166" w:lineRule="auto"/>
              <w:rPr/>
            </w:pPr>
            <w:r>
              <w:rPr>
                <w:color w:val="231F20"/>
                <w:spacing w:val="-9"/>
              </w:rPr>
              <w:t>2003</w:t>
            </w:r>
          </w:p>
        </w:tc>
        <w:tc>
          <w:tcPr>
            <w:tcW w:w="60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18"/>
              <w:spacing w:before="58" w:line="166" w:lineRule="auto"/>
              <w:rPr/>
            </w:pPr>
            <w:r>
              <w:rPr>
                <w:color w:val="231F20"/>
                <w:spacing w:val="-12"/>
              </w:rPr>
              <w:t>1929</w:t>
            </w:r>
          </w:p>
        </w:tc>
        <w:tc>
          <w:tcPr>
            <w:tcW w:w="3037" w:type="dxa"/>
            <w:vAlign w:val="top"/>
            <w:gridSpan w:val="2"/>
            <w:tcBorders>
              <w:top w:val="single" w:color="231F20" w:sz="4" w:space="0"/>
            </w:tcBorders>
          </w:tcPr>
          <w:p>
            <w:pPr>
              <w:pStyle w:val="TableText"/>
              <w:ind w:left="1641"/>
              <w:spacing w:before="58" w:line="166" w:lineRule="auto"/>
              <w:rPr/>
            </w:pPr>
            <w:r>
              <w:rPr>
                <w:color w:val="231F20"/>
                <w:spacing w:val="-9"/>
              </w:rPr>
              <w:t>4032.5</w:t>
            </w:r>
          </w:p>
        </w:tc>
        <w:tc>
          <w:tcPr>
            <w:tcW w:w="235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027"/>
              <w:spacing w:before="58" w:line="166" w:lineRule="auto"/>
              <w:rPr/>
            </w:pPr>
            <w:r>
              <w:rPr>
                <w:color w:val="231F20"/>
                <w:spacing w:val="-8"/>
              </w:rPr>
              <w:t>40.8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66" w:line="166" w:lineRule="auto"/>
              <w:rPr/>
            </w:pPr>
            <w:r>
              <w:rPr>
                <w:color w:val="231F20"/>
                <w:spacing w:val="-9"/>
              </w:rPr>
              <w:t>2004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18"/>
              <w:spacing w:before="66" w:line="166" w:lineRule="auto"/>
              <w:rPr/>
            </w:pPr>
            <w:r>
              <w:rPr>
                <w:color w:val="231F20"/>
                <w:spacing w:val="-12"/>
              </w:rPr>
              <w:t>1929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644"/>
              <w:spacing w:before="66" w:line="166" w:lineRule="auto"/>
              <w:rPr/>
            </w:pPr>
            <w:r>
              <w:rPr>
                <w:color w:val="231F20"/>
                <w:spacing w:val="-9"/>
              </w:rPr>
              <w:t>6099.3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31"/>
              <w:spacing w:before="66" w:line="166" w:lineRule="auto"/>
              <w:rPr/>
            </w:pPr>
            <w:r>
              <w:rPr>
                <w:color w:val="231F20"/>
                <w:spacing w:val="-8"/>
              </w:rPr>
              <w:t>51.3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66" w:line="166" w:lineRule="auto"/>
              <w:rPr/>
            </w:pPr>
            <w:r>
              <w:rPr>
                <w:color w:val="231F20"/>
                <w:spacing w:val="-9"/>
              </w:rPr>
              <w:t>2005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18"/>
              <w:spacing w:before="66" w:line="166" w:lineRule="auto"/>
              <w:rPr/>
            </w:pPr>
            <w:r>
              <w:rPr>
                <w:color w:val="231F20"/>
                <w:spacing w:val="-12"/>
              </w:rPr>
              <w:t>1929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646"/>
              <w:spacing w:before="66" w:line="166" w:lineRule="auto"/>
              <w:rPr/>
            </w:pPr>
            <w:r>
              <w:rPr>
                <w:color w:val="231F20"/>
                <w:spacing w:val="-9"/>
              </w:rPr>
              <w:t>8188.7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33"/>
              <w:spacing w:before="66" w:line="166" w:lineRule="auto"/>
              <w:rPr/>
            </w:pPr>
            <w:r>
              <w:rPr>
                <w:color w:val="231F20"/>
                <w:spacing w:val="-9"/>
              </w:rPr>
              <w:t>34.3</w:t>
            </w:r>
          </w:p>
        </w:tc>
      </w:tr>
      <w:tr>
        <w:trPr>
          <w:trHeight w:val="315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66" w:line="165" w:lineRule="auto"/>
              <w:rPr/>
            </w:pPr>
            <w:r>
              <w:rPr>
                <w:color w:val="231F20"/>
                <w:spacing w:val="-9"/>
              </w:rPr>
              <w:t>2006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18"/>
              <w:spacing w:before="66" w:line="165" w:lineRule="auto"/>
              <w:rPr/>
            </w:pPr>
            <w:r>
              <w:rPr>
                <w:color w:val="231F20"/>
                <w:spacing w:val="-12"/>
              </w:rPr>
              <w:t>1929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69"/>
              <w:spacing w:before="66" w:line="165" w:lineRule="auto"/>
              <w:rPr/>
            </w:pPr>
            <w:r>
              <w:rPr>
                <w:color w:val="231F20"/>
                <w:spacing w:val="-11"/>
              </w:rPr>
              <w:t>10663.4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33"/>
              <w:spacing w:before="66" w:line="165" w:lineRule="auto"/>
              <w:rPr/>
            </w:pPr>
            <w:r>
              <w:rPr>
                <w:color w:val="231F20"/>
                <w:spacing w:val="-9"/>
              </w:rPr>
              <w:t>30.2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67" w:line="165" w:lineRule="auto"/>
              <w:rPr/>
            </w:pPr>
            <w:r>
              <w:rPr>
                <w:color w:val="231F20"/>
                <w:spacing w:val="-9"/>
              </w:rPr>
              <w:t>2007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18"/>
              <w:spacing w:before="67" w:line="165" w:lineRule="auto"/>
              <w:rPr/>
            </w:pPr>
            <w:r>
              <w:rPr>
                <w:color w:val="231F20"/>
                <w:spacing w:val="-12"/>
              </w:rPr>
              <w:t>1929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69"/>
              <w:spacing w:before="67" w:line="165" w:lineRule="auto"/>
              <w:rPr/>
            </w:pPr>
            <w:r>
              <w:rPr>
                <w:color w:val="231F20"/>
                <w:spacing w:val="-11"/>
              </w:rPr>
              <w:t>15282.5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27"/>
              <w:spacing w:before="67" w:line="165" w:lineRule="auto"/>
              <w:rPr/>
            </w:pPr>
            <w:r>
              <w:rPr>
                <w:color w:val="231F20"/>
                <w:spacing w:val="-8"/>
              </w:rPr>
              <w:t>43.3</w:t>
            </w:r>
          </w:p>
        </w:tc>
      </w:tr>
      <w:tr>
        <w:trPr>
          <w:trHeight w:val="315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68" w:line="164" w:lineRule="auto"/>
              <w:rPr/>
            </w:pPr>
            <w:r>
              <w:rPr>
                <w:color w:val="231F20"/>
                <w:spacing w:val="-9"/>
              </w:rPr>
              <w:t>2008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18"/>
              <w:spacing w:before="68" w:line="164" w:lineRule="auto"/>
              <w:rPr/>
            </w:pPr>
            <w:r>
              <w:rPr>
                <w:color w:val="231F20"/>
                <w:spacing w:val="-12"/>
              </w:rPr>
              <w:t>1929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69"/>
              <w:spacing w:before="68" w:line="164" w:lineRule="auto"/>
              <w:rPr/>
            </w:pPr>
            <w:r>
              <w:rPr>
                <w:color w:val="231F20"/>
                <w:spacing w:val="-11"/>
              </w:rPr>
              <w:t>19460.3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30"/>
              <w:spacing w:before="68" w:line="164" w:lineRule="auto"/>
              <w:rPr/>
            </w:pPr>
            <w:r>
              <w:rPr>
                <w:color w:val="231F20"/>
                <w:spacing w:val="-8"/>
              </w:rPr>
              <w:t>27.3</w:t>
            </w:r>
          </w:p>
        </w:tc>
      </w:tr>
      <w:tr>
        <w:trPr>
          <w:trHeight w:val="317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68" w:line="165" w:lineRule="auto"/>
              <w:rPr/>
            </w:pPr>
            <w:r>
              <w:rPr>
                <w:color w:val="231F20"/>
                <w:spacing w:val="-9"/>
              </w:rPr>
              <w:t>2009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6"/>
              <w:spacing w:before="68" w:line="165" w:lineRule="auto"/>
              <w:rPr/>
            </w:pPr>
            <w:r>
              <w:rPr>
                <w:color w:val="231F20"/>
                <w:spacing w:val="-10"/>
              </w:rPr>
              <w:t>3389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4"/>
              <w:spacing w:before="68" w:line="165" w:lineRule="auto"/>
              <w:rPr/>
            </w:pPr>
            <w:r>
              <w:rPr>
                <w:color w:val="231F20"/>
                <w:spacing w:val="-9"/>
              </w:rPr>
              <w:t>23991.5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30"/>
              <w:spacing w:before="68" w:line="165" w:lineRule="auto"/>
              <w:rPr/>
            </w:pPr>
            <w:r>
              <w:rPr>
                <w:color w:val="231F20"/>
                <w:spacing w:val="-8"/>
              </w:rPr>
              <w:t>23.3</w:t>
            </w:r>
          </w:p>
        </w:tc>
      </w:tr>
      <w:tr>
        <w:trPr>
          <w:trHeight w:val="314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67" w:line="164" w:lineRule="auto"/>
              <w:rPr/>
            </w:pPr>
            <w:r>
              <w:rPr>
                <w:color w:val="231F20"/>
                <w:spacing w:val="-9"/>
              </w:rPr>
              <w:t>2010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6"/>
              <w:spacing w:before="67" w:line="164" w:lineRule="auto"/>
              <w:rPr/>
            </w:pPr>
            <w:r>
              <w:rPr>
                <w:color w:val="231F20"/>
                <w:spacing w:val="-10"/>
              </w:rPr>
              <w:t>3389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4"/>
              <w:spacing w:before="67" w:line="164" w:lineRule="auto"/>
              <w:rPr/>
            </w:pPr>
            <w:r>
              <w:rPr>
                <w:color w:val="231F20"/>
                <w:spacing w:val="-9"/>
              </w:rPr>
              <w:t>28473.4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45"/>
              <w:spacing w:before="67" w:line="164" w:lineRule="auto"/>
              <w:rPr/>
            </w:pPr>
            <w:r>
              <w:rPr>
                <w:color w:val="231F20"/>
                <w:spacing w:val="-11"/>
              </w:rPr>
              <w:t>18.7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69" w:line="164" w:lineRule="auto"/>
              <w:rPr/>
            </w:pPr>
            <w:r>
              <w:rPr>
                <w:color w:val="231F20"/>
                <w:spacing w:val="-9"/>
              </w:rPr>
              <w:t>2011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6"/>
              <w:spacing w:before="69" w:line="164" w:lineRule="auto"/>
              <w:rPr/>
            </w:pPr>
            <w:r>
              <w:rPr>
                <w:color w:val="231F20"/>
                <w:spacing w:val="-10"/>
              </w:rPr>
              <w:t>3389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69" w:line="164" w:lineRule="auto"/>
              <w:rPr/>
            </w:pPr>
            <w:r>
              <w:rPr>
                <w:color w:val="231F20"/>
                <w:spacing w:val="-10"/>
              </w:rPr>
              <w:t>31811.5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45"/>
              <w:spacing w:before="69" w:line="164" w:lineRule="auto"/>
              <w:rPr/>
            </w:pPr>
            <w:r>
              <w:rPr>
                <w:color w:val="231F20"/>
                <w:spacing w:val="-11"/>
              </w:rPr>
              <w:t>10.7</w:t>
            </w:r>
          </w:p>
        </w:tc>
      </w:tr>
      <w:tr>
        <w:trPr>
          <w:trHeight w:val="315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69" w:line="163" w:lineRule="auto"/>
              <w:rPr/>
            </w:pPr>
            <w:r>
              <w:rPr>
                <w:color w:val="231F20"/>
                <w:spacing w:val="-9"/>
              </w:rPr>
              <w:t>2012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6"/>
              <w:spacing w:before="69" w:line="163" w:lineRule="auto"/>
              <w:rPr/>
            </w:pPr>
            <w:r>
              <w:rPr>
                <w:color w:val="231F20"/>
                <w:spacing w:val="-10"/>
              </w:rPr>
              <w:t>3389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69" w:line="163" w:lineRule="auto"/>
              <w:rPr/>
            </w:pPr>
            <w:r>
              <w:rPr>
                <w:color w:val="231F20"/>
                <w:spacing w:val="-10"/>
              </w:rPr>
              <w:t>33115.9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117"/>
              <w:spacing w:before="69" w:line="163" w:lineRule="auto"/>
              <w:rPr/>
            </w:pPr>
            <w:r>
              <w:rPr>
                <w:color w:val="231F20"/>
                <w:spacing w:val="-6"/>
              </w:rPr>
              <w:t>4.1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0" w:line="163" w:lineRule="auto"/>
              <w:rPr/>
            </w:pPr>
            <w:r>
              <w:rPr>
                <w:color w:val="231F20"/>
                <w:spacing w:val="-9"/>
              </w:rPr>
              <w:t>2013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6"/>
              <w:spacing w:before="70" w:line="163" w:lineRule="auto"/>
              <w:rPr/>
            </w:pPr>
            <w:r>
              <w:rPr>
                <w:color w:val="231F20"/>
                <w:spacing w:val="-10"/>
              </w:rPr>
              <w:t>3389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0" w:line="163" w:lineRule="auto"/>
              <w:rPr/>
            </w:pPr>
            <w:r>
              <w:rPr>
                <w:color w:val="231F20"/>
                <w:spacing w:val="-10"/>
              </w:rPr>
              <w:t>38213.2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45"/>
              <w:spacing w:before="70" w:line="163" w:lineRule="auto"/>
              <w:rPr/>
            </w:pPr>
            <w:r>
              <w:rPr>
                <w:color w:val="231F20"/>
                <w:spacing w:val="-11"/>
              </w:rPr>
              <w:t>15.4</w:t>
            </w:r>
          </w:p>
        </w:tc>
      </w:tr>
      <w:tr>
        <w:trPr>
          <w:trHeight w:val="315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1" w:line="162" w:lineRule="auto"/>
              <w:rPr/>
            </w:pPr>
            <w:r>
              <w:rPr>
                <w:color w:val="231F20"/>
                <w:spacing w:val="-9"/>
              </w:rPr>
              <w:t>2014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6"/>
              <w:spacing w:before="71" w:line="162" w:lineRule="auto"/>
              <w:rPr/>
            </w:pPr>
            <w:r>
              <w:rPr>
                <w:color w:val="231F20"/>
                <w:spacing w:val="-10"/>
              </w:rPr>
              <w:t>3389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1" w:line="162" w:lineRule="auto"/>
              <w:rPr/>
            </w:pPr>
            <w:r>
              <w:rPr>
                <w:color w:val="231F20"/>
                <w:spacing w:val="-10"/>
              </w:rPr>
              <w:t>38430.2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119"/>
              <w:spacing w:before="71" w:line="162" w:lineRule="auto"/>
              <w:rPr/>
            </w:pPr>
            <w:r>
              <w:rPr>
                <w:color w:val="231F20"/>
                <w:spacing w:val="-7"/>
              </w:rPr>
              <w:t>0.6</w:t>
            </w:r>
          </w:p>
        </w:tc>
      </w:tr>
      <w:tr>
        <w:trPr>
          <w:trHeight w:val="315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2" w:line="161" w:lineRule="auto"/>
              <w:rPr/>
            </w:pPr>
            <w:r>
              <w:rPr>
                <w:color w:val="231F20"/>
                <w:spacing w:val="-9"/>
              </w:rPr>
              <w:t>2015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4"/>
              <w:spacing w:before="72" w:line="161" w:lineRule="auto"/>
              <w:rPr/>
            </w:pPr>
            <w:r>
              <w:rPr>
                <w:color w:val="231F20"/>
                <w:spacing w:val="-10"/>
              </w:rPr>
              <w:t>5666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2" w:line="161" w:lineRule="auto"/>
              <w:rPr/>
            </w:pPr>
            <w:r>
              <w:rPr>
                <w:color w:val="231F20"/>
                <w:spacing w:val="-10"/>
              </w:rPr>
              <w:t>33303.6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935"/>
              <w:spacing w:before="72" w:line="161" w:lineRule="auto"/>
              <w:rPr/>
            </w:pPr>
            <w:r>
              <w:rPr>
                <w:color w:val="231F20"/>
                <w:spacing w:val="-2"/>
              </w:rPr>
              <w:t>-13.3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3" w:line="161" w:lineRule="auto"/>
              <w:rPr/>
            </w:pPr>
            <w:r>
              <w:rPr>
                <w:color w:val="231F20"/>
                <w:spacing w:val="-9"/>
              </w:rPr>
              <w:t>2016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4"/>
              <w:spacing w:before="73" w:line="161" w:lineRule="auto"/>
              <w:rPr/>
            </w:pPr>
            <w:r>
              <w:rPr>
                <w:color w:val="231F20"/>
                <w:spacing w:val="-10"/>
              </w:rPr>
              <w:t>5924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3" w:line="161" w:lineRule="auto"/>
              <w:rPr/>
            </w:pPr>
            <w:r>
              <w:rPr>
                <w:color w:val="231F20"/>
                <w:spacing w:val="-10"/>
              </w:rPr>
              <w:t>30105.2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24"/>
              <w:spacing w:before="73" w:line="161" w:lineRule="auto"/>
              <w:rPr/>
            </w:pPr>
            <w:r>
              <w:rPr>
                <w:color w:val="231F20"/>
              </w:rPr>
              <w:t>-9.6</w:t>
            </w:r>
          </w:p>
        </w:tc>
      </w:tr>
      <w:tr>
        <w:trPr>
          <w:trHeight w:val="315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2" w:line="161" w:lineRule="auto"/>
              <w:rPr/>
            </w:pPr>
            <w:r>
              <w:rPr>
                <w:color w:val="231F20"/>
                <w:spacing w:val="-9"/>
              </w:rPr>
              <w:t>2017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4"/>
              <w:spacing w:before="72" w:line="161" w:lineRule="auto"/>
              <w:rPr/>
            </w:pPr>
            <w:r>
              <w:rPr>
                <w:color w:val="231F20"/>
                <w:spacing w:val="-10"/>
              </w:rPr>
              <w:t>5924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2" w:line="161" w:lineRule="auto"/>
              <w:rPr/>
            </w:pPr>
            <w:r>
              <w:rPr>
                <w:color w:val="231F20"/>
                <w:spacing w:val="-10"/>
              </w:rPr>
              <w:t>31399.5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117"/>
              <w:spacing w:before="72" w:line="161" w:lineRule="auto"/>
              <w:rPr/>
            </w:pPr>
            <w:r>
              <w:rPr>
                <w:color w:val="231F20"/>
                <w:spacing w:val="-6"/>
              </w:rPr>
              <w:t>4.3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5" w:line="160" w:lineRule="auto"/>
              <w:rPr/>
            </w:pPr>
            <w:r>
              <w:rPr>
                <w:color w:val="231F20"/>
                <w:spacing w:val="-9"/>
              </w:rPr>
              <w:t>2018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4"/>
              <w:spacing w:before="75" w:line="160" w:lineRule="auto"/>
              <w:rPr/>
            </w:pPr>
            <w:r>
              <w:rPr>
                <w:color w:val="231F20"/>
                <w:spacing w:val="-10"/>
              </w:rPr>
              <w:t>5956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5" w:line="160" w:lineRule="auto"/>
              <w:rPr/>
            </w:pPr>
            <w:r>
              <w:rPr>
                <w:color w:val="231F20"/>
                <w:spacing w:val="-10"/>
              </w:rPr>
              <w:t>30727.1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24"/>
              <w:spacing w:before="75" w:line="160" w:lineRule="auto"/>
              <w:rPr/>
            </w:pPr>
            <w:r>
              <w:rPr>
                <w:color w:val="231F20"/>
              </w:rPr>
              <w:t>-2.1</w:t>
            </w:r>
          </w:p>
        </w:tc>
      </w:tr>
      <w:tr>
        <w:trPr>
          <w:trHeight w:val="315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4" w:line="160" w:lineRule="auto"/>
              <w:rPr/>
            </w:pPr>
            <w:r>
              <w:rPr>
                <w:color w:val="231F20"/>
                <w:spacing w:val="-9"/>
              </w:rPr>
              <w:t>2019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4"/>
              <w:spacing w:before="74" w:line="160" w:lineRule="auto"/>
              <w:rPr/>
            </w:pPr>
            <w:r>
              <w:rPr>
                <w:color w:val="231F20"/>
                <w:spacing w:val="-10"/>
              </w:rPr>
              <w:t>6264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4" w:line="160" w:lineRule="auto"/>
              <w:rPr/>
            </w:pPr>
            <w:r>
              <w:rPr>
                <w:color w:val="231F20"/>
                <w:spacing w:val="-10"/>
              </w:rPr>
              <w:t>31079.2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134"/>
              <w:spacing w:before="74" w:line="160" w:lineRule="auto"/>
              <w:rPr/>
            </w:pPr>
            <w:r>
              <w:rPr>
                <w:color w:val="231F20"/>
                <w:spacing w:val="-10"/>
              </w:rPr>
              <w:t>1.1</w:t>
            </w:r>
          </w:p>
        </w:tc>
      </w:tr>
      <w:tr>
        <w:trPr>
          <w:trHeight w:val="315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5" w:line="159" w:lineRule="auto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4"/>
              <w:spacing w:before="75" w:line="159" w:lineRule="auto"/>
              <w:rPr/>
            </w:pPr>
            <w:r>
              <w:rPr>
                <w:color w:val="231F20"/>
                <w:spacing w:val="-10"/>
              </w:rPr>
              <w:t>6264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5" w:line="159" w:lineRule="auto"/>
              <w:rPr/>
            </w:pPr>
            <w:r>
              <w:rPr>
                <w:color w:val="231F20"/>
                <w:spacing w:val="-10"/>
              </w:rPr>
              <w:t>32165.2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122"/>
              <w:spacing w:before="75" w:line="159" w:lineRule="auto"/>
              <w:rPr/>
            </w:pPr>
            <w:r>
              <w:rPr>
                <w:color w:val="231F20"/>
                <w:spacing w:val="-7"/>
              </w:rPr>
              <w:t>3.5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6" w:line="159" w:lineRule="auto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4"/>
              <w:spacing w:before="76" w:line="159" w:lineRule="auto"/>
              <w:rPr/>
            </w:pPr>
            <w:r>
              <w:rPr>
                <w:color w:val="231F20"/>
                <w:spacing w:val="-10"/>
              </w:rPr>
              <w:t>6264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6" w:line="159" w:lineRule="auto"/>
              <w:rPr/>
            </w:pPr>
            <w:r>
              <w:rPr>
                <w:color w:val="231F20"/>
                <w:spacing w:val="-10"/>
              </w:rPr>
              <w:t>32501.7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134"/>
              <w:spacing w:before="76" w:line="159" w:lineRule="auto"/>
              <w:rPr/>
            </w:pPr>
            <w:r>
              <w:rPr>
                <w:color w:val="231F20"/>
                <w:spacing w:val="-10"/>
              </w:rPr>
              <w:t>1.0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6" w:line="159" w:lineRule="auto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4"/>
              <w:spacing w:before="76" w:line="159" w:lineRule="auto"/>
              <w:rPr/>
            </w:pPr>
            <w:r>
              <w:rPr>
                <w:color w:val="231F20"/>
                <w:spacing w:val="-10"/>
              </w:rPr>
              <w:t>6464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6" w:line="159" w:lineRule="auto"/>
              <w:rPr/>
            </w:pPr>
            <w:r>
              <w:rPr>
                <w:color w:val="231F20"/>
                <w:spacing w:val="-10"/>
              </w:rPr>
              <w:t>31276.9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024"/>
              <w:spacing w:before="76" w:line="159" w:lineRule="auto"/>
              <w:rPr/>
            </w:pPr>
            <w:r>
              <w:rPr>
                <w:color w:val="231F20"/>
              </w:rPr>
              <w:t>-3.8</w:t>
            </w:r>
          </w:p>
        </w:tc>
      </w:tr>
      <w:tr>
        <w:trPr>
          <w:trHeight w:val="316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46"/>
              <w:spacing w:before="76" w:line="159" w:lineRule="auto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ind w:left="102"/>
              <w:spacing w:before="76" w:line="159" w:lineRule="auto"/>
              <w:rPr/>
            </w:pPr>
            <w:r>
              <w:rPr>
                <w:color w:val="231F20"/>
                <w:spacing w:val="-9"/>
              </w:rPr>
              <w:t>7187</w:t>
            </w:r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ind w:left="1557"/>
              <w:spacing w:before="76" w:line="159" w:lineRule="auto"/>
              <w:rPr/>
            </w:pPr>
            <w:r>
              <w:rPr>
                <w:color w:val="231F20"/>
                <w:spacing w:val="-10"/>
              </w:rPr>
              <w:t>32379.8</w:t>
            </w:r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122"/>
              <w:spacing w:before="76" w:line="159" w:lineRule="auto"/>
              <w:rPr/>
            </w:pPr>
            <w:r>
              <w:rPr>
                <w:color w:val="231F20"/>
                <w:spacing w:val="-7"/>
              </w:rPr>
              <w:t>3.5</w:t>
            </w:r>
          </w:p>
        </w:tc>
      </w:tr>
      <w:tr>
        <w:trPr>
          <w:trHeight w:val="312" w:hRule="atLeast"/>
        </w:trPr>
        <w:tc>
          <w:tcPr>
            <w:tcW w:w="2784" w:type="dxa"/>
            <w:vAlign w:val="top"/>
            <w:gridSpan w:val="2"/>
            <w:tcBorders>
              <w:bottom w:val="single" w:color="231F20" w:sz="8" w:space="0"/>
            </w:tcBorders>
          </w:tcPr>
          <w:p>
            <w:pPr>
              <w:pStyle w:val="TableText"/>
              <w:ind w:left="846"/>
              <w:spacing w:before="76" w:line="226" w:lineRule="exact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  <w:tc>
          <w:tcPr>
            <w:tcW w:w="60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02"/>
              <w:spacing w:before="76" w:line="226" w:lineRule="exact"/>
              <w:rPr/>
            </w:pPr>
            <w:r>
              <w:rPr>
                <w:color w:val="231F20"/>
                <w:spacing w:val="-9"/>
              </w:rPr>
              <w:t>7329</w:t>
            </w:r>
          </w:p>
        </w:tc>
        <w:tc>
          <w:tcPr>
            <w:tcW w:w="3037" w:type="dxa"/>
            <w:vAlign w:val="top"/>
            <w:gridSpan w:val="2"/>
            <w:tcBorders>
              <w:bottom w:val="single" w:color="231F20" w:sz="8" w:space="0"/>
            </w:tcBorders>
          </w:tcPr>
          <w:p>
            <w:pPr>
              <w:pStyle w:val="TableText"/>
              <w:ind w:left="1557"/>
              <w:spacing w:before="76" w:line="226" w:lineRule="exact"/>
              <w:rPr/>
            </w:pPr>
            <w:r>
              <w:rPr>
                <w:color w:val="231F20"/>
                <w:spacing w:val="-10"/>
              </w:rPr>
              <w:t>32023.6</w:t>
            </w:r>
          </w:p>
        </w:tc>
        <w:tc>
          <w:tcPr>
            <w:tcW w:w="235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024"/>
              <w:spacing w:before="76" w:line="226" w:lineRule="exact"/>
              <w:rPr/>
            </w:pPr>
            <w:r>
              <w:rPr>
                <w:color w:val="231F20"/>
              </w:rPr>
              <w:t>-1.1</w:t>
            </w:r>
          </w:p>
        </w:tc>
      </w:tr>
      <w:tr>
        <w:trPr>
          <w:trHeight w:val="1288" w:hRule="atLeast"/>
        </w:trPr>
        <w:tc>
          <w:tcPr>
            <w:tcW w:w="2784" w:type="dxa"/>
            <w:vAlign w:val="top"/>
            <w:gridSpan w:val="2"/>
            <w:tcBorders>
              <w:bottom w:val="single" w:color="231F20" w:sz="8" w:space="0"/>
              <w:top w:val="single" w:color="231F20" w:sz="8" w:space="0"/>
            </w:tcBorders>
          </w:tcPr>
          <w:p>
            <w:pPr>
              <w:pStyle w:val="TableText"/>
              <w:ind w:left="354"/>
              <w:spacing w:before="112" w:line="198" w:lineRule="auto"/>
              <w:rPr/>
            </w:pPr>
            <w:r>
              <w:rPr>
                <w:color w:val="231F20"/>
                <w:spacing w:val="-3"/>
              </w:rPr>
              <w:t>数据来源：中国人民银行。</w:t>
            </w:r>
          </w:p>
          <w:p>
            <w:pPr>
              <w:pStyle w:val="TableText"/>
              <w:ind w:left="429"/>
              <w:spacing w:before="217" w:line="208" w:lineRule="auto"/>
              <w:rPr>
                <w:rFonts w:ascii="Times New Roman" w:hAnsi="Times New Roman" w:eastAsia="Times New Roman" w:cs="Times New Roman"/>
                <w:sz w:val="21"/>
                <w:szCs w:val="21"/>
              </w:rPr>
            </w:pPr>
            <w:r>
              <w:rPr>
                <w:sz w:val="21"/>
                <w:szCs w:val="21"/>
                <w:color w:val="174B8B"/>
                <w:spacing w:val="-8"/>
              </w:rPr>
              <w:t>附表</w:t>
            </w:r>
            <w:r>
              <w:rPr>
                <w:sz w:val="21"/>
                <w:szCs w:val="21"/>
                <w:color w:val="174B8B"/>
                <w:spacing w:val="12"/>
                <w:w w:val="10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1"/>
                <w:szCs w:val="21"/>
                <w:b/>
                <w:bCs/>
                <w:color w:val="174B8B"/>
                <w:spacing w:val="-8"/>
              </w:rPr>
              <w:t>6</w:t>
            </w:r>
          </w:p>
        </w:tc>
        <w:tc>
          <w:tcPr>
            <w:tcW w:w="608" w:type="dxa"/>
            <w:vAlign w:val="top"/>
            <w:tcBorders>
              <w:bottom w:val="single" w:color="231F20" w:sz="8" w:space="0"/>
              <w:top w:val="single" w:color="231F20" w:sz="8" w:space="0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3037" w:type="dxa"/>
            <w:vAlign w:val="top"/>
            <w:gridSpan w:val="2"/>
            <w:tcBorders>
              <w:bottom w:val="single" w:color="231F20" w:sz="8" w:space="0"/>
              <w:top w:val="single" w:color="231F20" w:sz="8" w:space="0"/>
            </w:tcBorders>
          </w:tcPr>
          <w:p>
            <w:pPr>
              <w:pStyle w:val="TableText"/>
              <w:spacing w:line="322" w:lineRule="auto"/>
              <w:rPr>
                <w:sz w:val="21"/>
              </w:rPr>
            </w:pPr>
            <w:r/>
          </w:p>
          <w:p>
            <w:pPr>
              <w:pStyle w:val="TableText"/>
              <w:ind w:left="261"/>
              <w:spacing w:before="101" w:line="173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color w:val="174B8B"/>
                <w:spacing w:val="-2"/>
              </w:rPr>
              <w:t>金融业资产简表</w:t>
            </w:r>
          </w:p>
          <w:p>
            <w:pPr>
              <w:pStyle w:val="TableText"/>
              <w:ind w:left="50"/>
              <w:spacing w:before="14" w:line="174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color w:val="231F20"/>
                <w:spacing w:val="-6"/>
              </w:rPr>
              <w:t>（2024年12月31日）</w:t>
            </w:r>
          </w:p>
        </w:tc>
        <w:tc>
          <w:tcPr>
            <w:tcW w:w="2358" w:type="dxa"/>
            <w:vAlign w:val="top"/>
            <w:tcBorders>
              <w:bottom w:val="single" w:color="231F20" w:sz="8" w:space="0"/>
              <w:top w:val="single" w:color="231F20" w:sz="8" w:space="0"/>
            </w:tcBorders>
          </w:tcPr>
          <w:p>
            <w:pPr>
              <w:pStyle w:val="TableText"/>
              <w:spacing w:line="447" w:lineRule="auto"/>
              <w:rPr>
                <w:sz w:val="21"/>
              </w:rPr>
            </w:pPr>
            <w:r/>
          </w:p>
          <w:p>
            <w:pPr>
              <w:pStyle w:val="TableText"/>
              <w:ind w:left="648"/>
              <w:spacing w:before="102" w:line="18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  <w:color w:val="231F20"/>
                <w:spacing w:val="-1"/>
              </w:rPr>
              <w:t>单位：万亿元</w:t>
            </w:r>
          </w:p>
        </w:tc>
      </w:tr>
      <w:tr>
        <w:trPr>
          <w:trHeight w:val="329" w:hRule="atLeast"/>
        </w:trPr>
        <w:tc>
          <w:tcPr>
            <w:tcW w:w="2784" w:type="dxa"/>
            <w:vAlign w:val="top"/>
            <w:gridSpan w:val="2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right="33"/>
              <w:spacing w:before="88" w:line="160" w:lineRule="auto"/>
              <w:jc w:val="right"/>
              <w:rPr/>
            </w:pPr>
            <w:r>
              <mc:AlternateContent xmlns:mc="http://schemas.openxmlformats.org/markup-compatibility/2006">
                <mc:Choice Requires="wps">
                  <w:drawing>
                    <wp:anchor distT="0" distB="0" distL="0" distR="0" simplePos="0" relativeHeight="252616704" behindDoc="1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-2423</wp:posOffset>
                      </wp:positionV>
                      <wp:extent cx="2988310" cy="1334135"/>
                      <wp:effectExtent l="0" t="0" r="0" b="0"/>
                      <wp:wrapNone/>
                      <wp:docPr id="718" name="Rect 718"/>
                      <wp:cNvGraphicFramePr/>
                      <a:graphic>
                        <a:graphicData uri="http://schemas.microsoft.com/office/word/2010/wordprocessingShape">
                          <wps:wsp>
                            <wps:cNvPr id="718" name="Rect 718"/>
                            <wps:cNvSpPr/>
                            <wps:spPr>
                              <a:xfrm>
                                <a:off x="0" y="-2423"/>
                                <a:ext cx="2988310" cy="13341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E5F5"/>
                              </a:solidFill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202" style="position:absolute;margin-left:0pt;margin-top:-0.190811pt;mso-position-vertical-relative:text;mso-position-horizontal-relative:text;width:235.3pt;height:105.05pt;z-index:-250699776;" fillcolor="#D4E5F5" filled="true" stroked="false"/>
                  </w:pict>
                </mc:Fallback>
              </mc:AlternateContent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608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spacing w:line="318" w:lineRule="exact"/>
              <w:rPr>
                <w:sz w:val="16"/>
              </w:rPr>
            </w:pPr>
            <w:r/>
          </w:p>
        </w:tc>
        <w:tc>
          <w:tcPr>
            <w:tcW w:w="3037" w:type="dxa"/>
            <w:vAlign w:val="top"/>
            <w:gridSpan w:val="2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spacing w:line="318" w:lineRule="exact"/>
              <w:rPr>
                <w:sz w:val="16"/>
              </w:rPr>
            </w:pPr>
            <w:r/>
          </w:p>
        </w:tc>
        <w:tc>
          <w:tcPr>
            <w:tcW w:w="2358" w:type="dxa"/>
            <w:vAlign w:val="top"/>
            <w:tcBorders>
              <w:top w:val="single" w:color="231F20" w:sz="8" w:space="0"/>
              <w:bottom w:val="single" w:color="231F20" w:sz="4" w:space="0"/>
            </w:tcBorders>
          </w:tcPr>
          <w:p>
            <w:pPr>
              <w:pStyle w:val="TableText"/>
              <w:ind w:left="145"/>
              <w:spacing w:before="83" w:line="163" w:lineRule="auto"/>
              <w:rPr/>
            </w:pPr>
            <w:r>
              <w:rPr>
                <w:color w:val="231F20"/>
                <w:spacing w:val="-2"/>
              </w:rPr>
              <w:t>资产</w:t>
            </w:r>
          </w:p>
        </w:tc>
      </w:tr>
      <w:tr>
        <w:trPr>
          <w:trHeight w:val="339" w:hRule="atLeast"/>
        </w:trPr>
        <w:tc>
          <w:tcPr>
            <w:tcW w:w="2784" w:type="dxa"/>
            <w:vAlign w:val="top"/>
            <w:gridSpan w:val="2"/>
            <w:tcBorders>
              <w:top w:val="single" w:color="231F20" w:sz="4" w:space="0"/>
            </w:tcBorders>
          </w:tcPr>
          <w:p>
            <w:pPr>
              <w:pStyle w:val="TableText"/>
              <w:ind w:left="354"/>
              <w:spacing w:before="98" w:line="160" w:lineRule="auto"/>
              <w:rPr/>
            </w:pPr>
            <w:r>
              <w:rPr>
                <w:color w:val="231F20"/>
                <w:spacing w:val="-1"/>
              </w:rPr>
              <w:t>金融业</w:t>
            </w:r>
          </w:p>
        </w:tc>
        <w:tc>
          <w:tcPr>
            <w:tcW w:w="60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spacing w:line="328" w:lineRule="exact"/>
              <w:rPr>
                <w:sz w:val="17"/>
              </w:rPr>
            </w:pPr>
            <w:r/>
          </w:p>
        </w:tc>
        <w:tc>
          <w:tcPr>
            <w:tcW w:w="3037" w:type="dxa"/>
            <w:vAlign w:val="top"/>
            <w:gridSpan w:val="2"/>
            <w:tcBorders>
              <w:top w:val="single" w:color="231F20" w:sz="4" w:space="0"/>
            </w:tcBorders>
          </w:tcPr>
          <w:p>
            <w:pPr>
              <w:pStyle w:val="TableText"/>
              <w:spacing w:line="328" w:lineRule="exact"/>
              <w:rPr>
                <w:sz w:val="17"/>
              </w:rPr>
            </w:pPr>
            <w:r/>
          </w:p>
        </w:tc>
        <w:tc>
          <w:tcPr>
            <w:tcW w:w="235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9"/>
              <w:spacing w:before="90" w:line="165" w:lineRule="auto"/>
              <w:rPr/>
            </w:pPr>
            <w:r>
              <w:rPr>
                <w:color w:val="231F20"/>
                <w:spacing w:val="-9"/>
              </w:rPr>
              <w:t>539.64</w:t>
            </w:r>
          </w:p>
        </w:tc>
      </w:tr>
      <w:tr>
        <w:trPr>
          <w:trHeight w:val="349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26"/>
              <w:spacing w:before="108" w:line="160" w:lineRule="auto"/>
              <w:rPr/>
            </w:pPr>
            <w:r>
              <w:rPr>
                <w:color w:val="231F20"/>
                <w:spacing w:val="-5"/>
              </w:rPr>
              <w:t>中央银行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spacing w:line="338" w:lineRule="exact"/>
              <w:rPr>
                <w:sz w:val="17"/>
              </w:rPr>
            </w:pPr>
            <w:r/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spacing w:line="338" w:lineRule="exact"/>
              <w:rPr>
                <w:sz w:val="17"/>
              </w:rPr>
            </w:pPr>
            <w:r/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45"/>
              <w:spacing w:before="102" w:line="164" w:lineRule="auto"/>
              <w:rPr/>
            </w:pPr>
            <w:r>
              <w:rPr>
                <w:color w:val="231F20"/>
                <w:spacing w:val="-8"/>
              </w:rPr>
              <w:t>44.05</w:t>
            </w:r>
          </w:p>
        </w:tc>
      </w:tr>
      <w:tr>
        <w:trPr>
          <w:trHeight w:val="349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07"/>
              <w:spacing w:before="108" w:line="160" w:lineRule="auto"/>
              <w:rPr/>
            </w:pPr>
            <w:r>
              <w:rPr>
                <w:color w:val="231F20"/>
                <w:spacing w:val="-1"/>
              </w:rPr>
              <w:t>银行业金融机构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spacing w:line="338" w:lineRule="exact"/>
              <w:rPr>
                <w:sz w:val="17"/>
              </w:rPr>
            </w:pPr>
            <w:r/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spacing w:line="338" w:lineRule="exact"/>
              <w:rPr>
                <w:sz w:val="17"/>
              </w:rPr>
            </w:pPr>
            <w:r/>
          </w:p>
        </w:tc>
        <w:tc>
          <w:tcPr>
            <w:tcW w:w="2358" w:type="dxa"/>
            <w:vAlign w:val="top"/>
          </w:tcPr>
          <w:p>
            <w:pPr>
              <w:pStyle w:val="TableText"/>
              <w:ind w:left="55"/>
              <w:spacing w:before="103" w:line="163" w:lineRule="auto"/>
              <w:rPr/>
            </w:pPr>
            <w:r>
              <w:rPr>
                <w:color w:val="231F20"/>
                <w:spacing w:val="-9"/>
              </w:rPr>
              <w:t>444.57</w:t>
            </w:r>
          </w:p>
        </w:tc>
      </w:tr>
      <w:tr>
        <w:trPr>
          <w:trHeight w:val="350" w:hRule="atLeast"/>
        </w:trPr>
        <w:tc>
          <w:tcPr>
            <w:tcW w:w="2784" w:type="dxa"/>
            <w:vAlign w:val="top"/>
            <w:gridSpan w:val="2"/>
          </w:tcPr>
          <w:p>
            <w:pPr>
              <w:pStyle w:val="TableText"/>
              <w:ind w:left="807"/>
              <w:spacing w:before="107" w:line="161" w:lineRule="auto"/>
              <w:rPr/>
            </w:pPr>
            <w:r>
              <w:rPr>
                <w:color w:val="231F20"/>
                <w:spacing w:val="-1"/>
              </w:rPr>
              <w:t>证券业金融机构</w:t>
            </w:r>
          </w:p>
        </w:tc>
        <w:tc>
          <w:tcPr>
            <w:tcW w:w="608" w:type="dxa"/>
            <w:vAlign w:val="top"/>
          </w:tcPr>
          <w:p>
            <w:pPr>
              <w:pStyle w:val="TableText"/>
              <w:spacing w:line="340" w:lineRule="exact"/>
              <w:rPr>
                <w:sz w:val="17"/>
              </w:rPr>
            </w:pPr>
            <w:r/>
          </w:p>
        </w:tc>
        <w:tc>
          <w:tcPr>
            <w:tcW w:w="3037" w:type="dxa"/>
            <w:vAlign w:val="top"/>
            <w:gridSpan w:val="2"/>
          </w:tcPr>
          <w:p>
            <w:pPr>
              <w:pStyle w:val="TableText"/>
              <w:spacing w:line="340" w:lineRule="exact"/>
              <w:rPr>
                <w:sz w:val="17"/>
              </w:rPr>
            </w:pPr>
            <w:r/>
          </w:p>
        </w:tc>
        <w:tc>
          <w:tcPr>
            <w:tcW w:w="2358" w:type="dxa"/>
            <w:vAlign w:val="top"/>
          </w:tcPr>
          <w:p>
            <w:pPr>
              <w:pStyle w:val="TableText"/>
              <w:ind w:left="162"/>
              <w:spacing w:before="104" w:line="163" w:lineRule="auto"/>
              <w:rPr/>
            </w:pPr>
            <w:r>
              <w:rPr>
                <w:color w:val="231F20"/>
                <w:spacing w:val="-11"/>
              </w:rPr>
              <w:t>15.11</w:t>
            </w:r>
          </w:p>
        </w:tc>
      </w:tr>
      <w:tr>
        <w:trPr>
          <w:trHeight w:val="360" w:hRule="atLeast"/>
        </w:trPr>
        <w:tc>
          <w:tcPr>
            <w:tcW w:w="2784" w:type="dxa"/>
            <w:vAlign w:val="top"/>
            <w:gridSpan w:val="2"/>
            <w:tcBorders>
              <w:bottom w:val="single" w:color="231F20" w:sz="8" w:space="0"/>
            </w:tcBorders>
          </w:tcPr>
          <w:p>
            <w:pPr>
              <w:pStyle w:val="TableText"/>
              <w:ind w:left="807"/>
              <w:spacing w:before="109" w:line="167" w:lineRule="auto"/>
              <w:rPr/>
            </w:pPr>
            <w:r>
              <w:rPr>
                <w:color w:val="231F20"/>
                <w:spacing w:val="-1"/>
              </w:rPr>
              <w:t>保险业金融机构</w:t>
            </w:r>
          </w:p>
        </w:tc>
        <w:tc>
          <w:tcPr>
            <w:tcW w:w="60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spacing w:line="350" w:lineRule="exact"/>
              <w:rPr/>
            </w:pPr>
            <w:r/>
          </w:p>
        </w:tc>
        <w:tc>
          <w:tcPr>
            <w:tcW w:w="3037" w:type="dxa"/>
            <w:vAlign w:val="top"/>
            <w:gridSpan w:val="2"/>
            <w:tcBorders>
              <w:bottom w:val="single" w:color="231F20" w:sz="8" w:space="0"/>
            </w:tcBorders>
          </w:tcPr>
          <w:p>
            <w:pPr>
              <w:pStyle w:val="TableText"/>
              <w:spacing w:line="350" w:lineRule="exact"/>
              <w:rPr/>
            </w:pPr>
            <w:r/>
          </w:p>
        </w:tc>
        <w:tc>
          <w:tcPr>
            <w:tcW w:w="235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50"/>
              <w:spacing w:before="104" w:line="170" w:lineRule="auto"/>
              <w:rPr/>
            </w:pPr>
            <w:r>
              <w:rPr>
                <w:color w:val="231F20"/>
                <w:spacing w:val="-9"/>
              </w:rPr>
              <w:t>35.91</w:t>
            </w:r>
          </w:p>
        </w:tc>
      </w:tr>
    </w:tbl>
    <w:p>
      <w:pPr>
        <w:pStyle w:val="BodyText"/>
        <w:ind w:left="10" w:firstLine="342"/>
        <w:spacing w:before="110" w:line="166" w:lineRule="auto"/>
        <w:jc w:val="both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注：①</w:t>
      </w:r>
      <w:r>
        <w:rPr>
          <w:sz w:val="18"/>
          <w:szCs w:val="18"/>
          <w:color w:val="231F20"/>
          <w:spacing w:val="36"/>
          <w:w w:val="101"/>
        </w:rPr>
        <w:t xml:space="preserve"> </w:t>
      </w:r>
      <w:r>
        <w:rPr>
          <w:sz w:val="18"/>
          <w:szCs w:val="18"/>
          <w:color w:val="231F20"/>
          <w:spacing w:val="2"/>
        </w:rPr>
        <w:t>银行业机构指法人金融机构（含境外分行），不包括中央银行；</w:t>
      </w:r>
      <w:r>
        <w:rPr>
          <w:sz w:val="18"/>
          <w:szCs w:val="18"/>
          <w:color w:val="231F20"/>
          <w:spacing w:val="1"/>
        </w:rPr>
        <w:t>证券业机构包括证券公司、期货公</w:t>
      </w:r>
      <w:r>
        <w:rPr>
          <w:sz w:val="18"/>
          <w:szCs w:val="18"/>
          <w:color w:val="231F20"/>
        </w:rPr>
        <w:t xml:space="preserve"> </w:t>
      </w:r>
      <w:r>
        <w:rPr>
          <w:sz w:val="18"/>
          <w:szCs w:val="18"/>
          <w:color w:val="231F20"/>
          <w:spacing w:val="3"/>
        </w:rPr>
        <w:t>司和基金公司，证券公司和期货公司总资产均包括自身及客户资产；保险业机构包</w:t>
      </w:r>
      <w:r>
        <w:rPr>
          <w:sz w:val="18"/>
          <w:szCs w:val="18"/>
          <w:color w:val="231F20"/>
          <w:spacing w:val="2"/>
        </w:rPr>
        <w:t>括财产保险公司、人身保险</w:t>
      </w:r>
      <w:r>
        <w:rPr>
          <w:sz w:val="18"/>
          <w:szCs w:val="18"/>
          <w:color w:val="231F20"/>
        </w:rPr>
        <w:t xml:space="preserve"> </w:t>
      </w:r>
      <w:r>
        <w:rPr>
          <w:sz w:val="18"/>
          <w:szCs w:val="18"/>
          <w:color w:val="231F20"/>
          <w:spacing w:val="-1"/>
        </w:rPr>
        <w:t>公司、再保险公司、保险集团公司和保险资</w:t>
      </w:r>
      <w:r>
        <w:rPr>
          <w:sz w:val="18"/>
          <w:szCs w:val="18"/>
          <w:color w:val="231F20"/>
          <w:spacing w:val="-2"/>
        </w:rPr>
        <w:t>产管理公司。</w:t>
      </w:r>
    </w:p>
    <w:p>
      <w:pPr>
        <w:pStyle w:val="BodyText"/>
        <w:ind w:left="703"/>
        <w:spacing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1"/>
        </w:rPr>
        <w:t>②</w:t>
      </w:r>
      <w:r>
        <w:rPr>
          <w:sz w:val="18"/>
          <w:szCs w:val="18"/>
          <w:color w:val="231F20"/>
          <w:spacing w:val="38"/>
        </w:rPr>
        <w:t xml:space="preserve"> </w:t>
      </w:r>
      <w:r>
        <w:rPr>
          <w:sz w:val="18"/>
          <w:szCs w:val="18"/>
          <w:color w:val="231F20"/>
          <w:spacing w:val="-1"/>
        </w:rPr>
        <w:t>因保险业部分机构目前处于风险处置阶段</w:t>
      </w:r>
      <w:r>
        <w:rPr>
          <w:sz w:val="18"/>
          <w:szCs w:val="18"/>
          <w:color w:val="231F20"/>
          <w:spacing w:val="-2"/>
        </w:rPr>
        <w:t>，行业汇总数据口径暂不包含这部分机构。</w:t>
      </w:r>
    </w:p>
    <w:p>
      <w:pPr>
        <w:pStyle w:val="BodyText"/>
        <w:ind w:left="354"/>
        <w:spacing w:line="202" w:lineRule="exact"/>
        <w:rPr>
          <w:sz w:val="18"/>
          <w:szCs w:val="18"/>
        </w:rPr>
      </w:pPr>
      <w:r>
        <w:rPr>
          <w:sz w:val="18"/>
          <w:szCs w:val="18"/>
          <w:color w:val="231F20"/>
          <w:spacing w:val="-2"/>
          <w:position w:val="-1"/>
        </w:rPr>
        <w:t>数据来源：中国人民银行、金融监管总局、中国证监会。</w:t>
      </w:r>
    </w:p>
    <w:p>
      <w:pPr>
        <w:spacing w:line="202" w:lineRule="exact"/>
        <w:sectPr>
          <w:type w:val="continuous"/>
          <w:pgSz w:w="11906" w:h="16158"/>
          <w:pgMar w:top="1383" w:right="1417" w:bottom="400" w:left="1700" w:header="1060" w:footer="0" w:gutter="0"/>
          <w:cols w:equalWidth="0" w:num="1">
            <w:col w:w="8788" w:space="0"/>
          </w:cols>
        </w:sectPr>
        <w:rPr>
          <w:sz w:val="18"/>
          <w:szCs w:val="18"/>
        </w:rPr>
      </w:pPr>
    </w:p>
    <w:p>
      <w:pPr>
        <w:pStyle w:val="BodyText"/>
        <w:spacing w:line="294" w:lineRule="auto"/>
        <w:rPr/>
      </w:pPr>
      <w:r/>
    </w:p>
    <w:p>
      <w:pPr>
        <w:pStyle w:val="BodyText"/>
        <w:ind w:left="429"/>
        <w:spacing w:before="102" w:line="196" w:lineRule="auto"/>
        <w:rPr/>
      </w:pPr>
      <w:r>
        <w:rPr>
          <w:color w:val="174B8B"/>
        </w:rPr>
        <w:t>附表 </w:t>
      </w:r>
      <w:r>
        <w:rPr>
          <w:rFonts w:ascii="Times New Roman" w:hAnsi="Times New Roman" w:eastAsia="Times New Roman" w:cs="Times New Roman"/>
          <w:b/>
          <w:bCs/>
          <w:color w:val="174B8B"/>
        </w:rPr>
        <w:t>7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            2024</w:t>
      </w:r>
      <w:r>
        <w:rPr>
          <w:color w:val="174B8B"/>
          <w:spacing w:val="-1"/>
        </w:rPr>
        <w:t>年存款性公司概览</w:t>
      </w:r>
    </w:p>
    <w:p>
      <w:pPr>
        <w:pStyle w:val="BodyText"/>
        <w:ind w:left="3754"/>
        <w:spacing w:line="258" w:lineRule="exact"/>
        <w:rPr/>
      </w:pPr>
      <w:r>
        <w:rPr>
          <w:color w:val="231F20"/>
          <w:spacing w:val="3"/>
        </w:rPr>
        <w:t>（季末余额）</w:t>
      </w:r>
    </w:p>
    <w:p>
      <w:pPr>
        <w:pStyle w:val="BodyText"/>
        <w:ind w:left="7287"/>
        <w:spacing w:before="1" w:line="179" w:lineRule="auto"/>
        <w:rPr/>
      </w:pPr>
      <w:r>
        <w:rPr>
          <w:color w:val="231F20"/>
          <w:spacing w:val="-1"/>
        </w:rPr>
        <w:t>单位：亿元</w:t>
      </w:r>
    </w:p>
    <w:p>
      <w:pPr>
        <w:spacing w:line="92" w:lineRule="exact"/>
        <w:rPr/>
      </w:pPr>
      <w:r/>
    </w:p>
    <w:tbl>
      <w:tblPr>
        <w:tblStyle w:val="TableNormal"/>
        <w:tblW w:w="8771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445"/>
        <w:gridCol w:w="1761"/>
        <w:gridCol w:w="1498"/>
        <w:gridCol w:w="1498"/>
        <w:gridCol w:w="1569"/>
      </w:tblGrid>
      <w:tr>
        <w:trPr>
          <w:trHeight w:val="396" w:hRule="atLeast"/>
        </w:trPr>
        <w:tc>
          <w:tcPr>
            <w:tcW w:w="244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032"/>
              <w:spacing w:before="110" w:line="172" w:lineRule="auto"/>
              <w:rPr/>
            </w:pPr>
            <w:r>
              <w:drawing>
                <wp:anchor distT="0" distB="0" distL="0" distR="0" simplePos="0" relativeHeight="252627968" behindDoc="1" locked="0" layoutInCell="1" allowOverlap="1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-6215</wp:posOffset>
                  </wp:positionV>
                  <wp:extent cx="5569839" cy="7097395"/>
                  <wp:effectExtent l="0" t="0" r="0" b="0"/>
                  <wp:wrapNone/>
                  <wp:docPr id="722" name="IM 7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2" name="IM 722"/>
                          <pic:cNvPicPr/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9839" cy="709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76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724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第一季度</w:t>
            </w:r>
          </w:p>
        </w:tc>
        <w:tc>
          <w:tcPr>
            <w:tcW w:w="149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461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第二季度</w:t>
            </w:r>
          </w:p>
        </w:tc>
        <w:tc>
          <w:tcPr>
            <w:tcW w:w="149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462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第三季度</w:t>
            </w:r>
          </w:p>
        </w:tc>
        <w:tc>
          <w:tcPr>
            <w:tcW w:w="156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462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第四季度</w:t>
            </w:r>
          </w:p>
        </w:tc>
      </w:tr>
      <w:tr>
        <w:trPr>
          <w:trHeight w:val="621" w:hRule="atLeast"/>
        </w:trPr>
        <w:tc>
          <w:tcPr>
            <w:tcW w:w="244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8"/>
              <w:spacing w:before="220" w:line="177" w:lineRule="auto"/>
              <w:rPr/>
            </w:pPr>
            <w:r>
              <w:rPr>
                <w:color w:val="231F20"/>
                <w:spacing w:val="-4"/>
              </w:rPr>
              <w:t>国外净资产</w:t>
            </w:r>
          </w:p>
        </w:tc>
        <w:tc>
          <w:tcPr>
            <w:tcW w:w="176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680"/>
              <w:spacing w:before="217" w:line="209" w:lineRule="auto"/>
              <w:rPr/>
            </w:pPr>
            <w:r>
              <w:rPr>
                <w:color w:val="231F20"/>
                <w:spacing w:val="-10"/>
              </w:rPr>
              <w:t>294764.99</w:t>
            </w:r>
          </w:p>
        </w:tc>
        <w:tc>
          <w:tcPr>
            <w:tcW w:w="149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8"/>
              <w:spacing w:before="217" w:line="209" w:lineRule="auto"/>
              <w:rPr/>
            </w:pPr>
            <w:r>
              <w:rPr>
                <w:color w:val="231F20"/>
                <w:spacing w:val="-10"/>
              </w:rPr>
              <w:t>294599.00</w:t>
            </w:r>
          </w:p>
        </w:tc>
        <w:tc>
          <w:tcPr>
            <w:tcW w:w="149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8"/>
              <w:spacing w:before="217" w:line="209" w:lineRule="auto"/>
              <w:rPr/>
            </w:pPr>
            <w:r>
              <w:rPr>
                <w:color w:val="231F20"/>
                <w:spacing w:val="-10"/>
              </w:rPr>
              <w:t>298987.49</w:t>
            </w:r>
          </w:p>
        </w:tc>
        <w:tc>
          <w:tcPr>
            <w:tcW w:w="156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21"/>
              <w:spacing w:before="217" w:line="209" w:lineRule="auto"/>
              <w:rPr/>
            </w:pPr>
            <w:r>
              <w:rPr>
                <w:color w:val="231F20"/>
                <w:spacing w:val="-10"/>
              </w:rPr>
              <w:t>306128.83</w:t>
            </w:r>
          </w:p>
        </w:tc>
      </w:tr>
      <w:tr>
        <w:trPr>
          <w:trHeight w:val="634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78"/>
              <w:spacing w:before="231" w:line="179" w:lineRule="auto"/>
              <w:rPr/>
            </w:pPr>
            <w:r>
              <w:rPr>
                <w:color w:val="231F20"/>
                <w:spacing w:val="-5"/>
              </w:rPr>
              <w:t>国内信贷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594"/>
              <w:spacing w:before="229" w:line="209" w:lineRule="auto"/>
              <w:rPr/>
            </w:pPr>
            <w:r>
              <w:rPr>
                <w:color w:val="231F20"/>
                <w:spacing w:val="-10"/>
              </w:rPr>
              <w:t>3386377.59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31"/>
              <w:spacing w:before="229" w:line="209" w:lineRule="auto"/>
              <w:rPr/>
            </w:pPr>
            <w:r>
              <w:rPr>
                <w:color w:val="231F20"/>
                <w:spacing w:val="-10"/>
              </w:rPr>
              <w:t>3422382.46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31"/>
              <w:spacing w:before="229" w:line="209" w:lineRule="auto"/>
              <w:rPr/>
            </w:pPr>
            <w:r>
              <w:rPr>
                <w:color w:val="231F20"/>
                <w:spacing w:val="-10"/>
              </w:rPr>
              <w:t>3479308.59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332"/>
              <w:spacing w:before="229" w:line="209" w:lineRule="auto"/>
              <w:rPr/>
            </w:pPr>
            <w:r>
              <w:rPr>
                <w:color w:val="231F20"/>
                <w:spacing w:val="-10"/>
              </w:rPr>
              <w:t>3532538.24</w:t>
            </w:r>
          </w:p>
        </w:tc>
      </w:tr>
      <w:tr>
        <w:trPr>
          <w:trHeight w:val="632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239"/>
              <w:spacing w:before="232" w:line="175" w:lineRule="auto"/>
              <w:rPr/>
            </w:pPr>
            <w:r>
              <w:rPr>
                <w:color w:val="231F20"/>
              </w:rPr>
              <w:t>对政府债权（净）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681"/>
              <w:spacing w:before="229" w:line="209" w:lineRule="auto"/>
              <w:rPr/>
            </w:pPr>
            <w:r>
              <w:rPr>
                <w:color w:val="231F20"/>
                <w:spacing w:val="-10"/>
              </w:rPr>
              <w:t>541437.24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8"/>
              <w:spacing w:before="229" w:line="209" w:lineRule="auto"/>
              <w:rPr/>
            </w:pPr>
            <w:r>
              <w:rPr>
                <w:color w:val="231F20"/>
                <w:spacing w:val="-10"/>
              </w:rPr>
              <w:t>558422.84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9"/>
              <w:spacing w:before="229" w:line="209" w:lineRule="auto"/>
              <w:rPr/>
            </w:pPr>
            <w:r>
              <w:rPr>
                <w:color w:val="231F20"/>
                <w:spacing w:val="-10"/>
              </w:rPr>
              <w:t>583097.62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419"/>
              <w:spacing w:before="229" w:line="209" w:lineRule="auto"/>
              <w:rPr/>
            </w:pPr>
            <w:r>
              <w:rPr>
                <w:color w:val="231F20"/>
                <w:spacing w:val="-10"/>
              </w:rPr>
              <w:t>620008.51</w:t>
            </w:r>
          </w:p>
        </w:tc>
      </w:tr>
      <w:tr>
        <w:trPr>
          <w:trHeight w:val="632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239"/>
              <w:spacing w:before="234" w:line="177" w:lineRule="auto"/>
              <w:rPr/>
            </w:pPr>
            <w:r>
              <w:rPr>
                <w:color w:val="231F20"/>
                <w:spacing w:val="-1"/>
              </w:rPr>
              <w:t>对非金融部门债权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591"/>
              <w:spacing w:before="230" w:line="209" w:lineRule="auto"/>
              <w:rPr/>
            </w:pPr>
            <w:r>
              <w:rPr>
                <w:color w:val="231F20"/>
                <w:spacing w:val="-10"/>
              </w:rPr>
              <w:t>2552105.55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28"/>
              <w:spacing w:before="230" w:line="209" w:lineRule="auto"/>
              <w:rPr/>
            </w:pPr>
            <w:r>
              <w:rPr>
                <w:color w:val="231F20"/>
                <w:spacing w:val="-10"/>
              </w:rPr>
              <w:t>2582541.92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29"/>
              <w:spacing w:before="230" w:line="209" w:lineRule="auto"/>
              <w:rPr/>
            </w:pPr>
            <w:r>
              <w:rPr>
                <w:color w:val="231F20"/>
                <w:spacing w:val="-10"/>
              </w:rPr>
              <w:t>2604483.62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329"/>
              <w:spacing w:before="230" w:line="209" w:lineRule="auto"/>
              <w:rPr/>
            </w:pPr>
            <w:r>
              <w:rPr>
                <w:color w:val="231F20"/>
                <w:spacing w:val="-10"/>
              </w:rPr>
              <w:t>2619461.52</w:t>
            </w:r>
          </w:p>
        </w:tc>
      </w:tr>
      <w:tr>
        <w:trPr>
          <w:trHeight w:val="633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239"/>
              <w:spacing w:before="234" w:line="178" w:lineRule="auto"/>
              <w:rPr/>
            </w:pPr>
            <w:r>
              <w:rPr>
                <w:color w:val="231F20"/>
                <w:spacing w:val="-1"/>
              </w:rPr>
              <w:t>对其他金融部门债权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680"/>
              <w:spacing w:before="232" w:line="209" w:lineRule="auto"/>
              <w:rPr/>
            </w:pPr>
            <w:r>
              <w:rPr>
                <w:color w:val="231F20"/>
                <w:spacing w:val="-10"/>
              </w:rPr>
              <w:t>292834.80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8"/>
              <w:spacing w:before="232" w:line="209" w:lineRule="auto"/>
              <w:rPr/>
            </w:pPr>
            <w:r>
              <w:rPr>
                <w:color w:val="231F20"/>
                <w:spacing w:val="-10"/>
              </w:rPr>
              <w:t>281417.69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8"/>
              <w:spacing w:before="232" w:line="209" w:lineRule="auto"/>
              <w:rPr/>
            </w:pPr>
            <w:r>
              <w:rPr>
                <w:color w:val="231F20"/>
                <w:spacing w:val="-10"/>
              </w:rPr>
              <w:t>291727.35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418"/>
              <w:spacing w:before="232" w:line="209" w:lineRule="auto"/>
              <w:rPr/>
            </w:pPr>
            <w:r>
              <w:rPr>
                <w:color w:val="231F20"/>
                <w:spacing w:val="-10"/>
              </w:rPr>
              <w:t>293068.21</w:t>
            </w:r>
          </w:p>
        </w:tc>
      </w:tr>
      <w:tr>
        <w:trPr>
          <w:trHeight w:val="632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59"/>
              <w:spacing w:before="235" w:line="178" w:lineRule="auto"/>
              <w:rPr/>
            </w:pPr>
            <w:r>
              <w:rPr>
                <w:color w:val="231F20"/>
                <w:spacing w:val="-1"/>
              </w:rPr>
              <w:t>货币和准货币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594"/>
              <w:spacing w:before="232" w:line="209" w:lineRule="auto"/>
              <w:rPr/>
            </w:pPr>
            <w:r>
              <w:rPr>
                <w:color w:val="231F20"/>
                <w:spacing w:val="-10"/>
              </w:rPr>
              <w:t>3047952.16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31"/>
              <w:spacing w:before="232" w:line="209" w:lineRule="auto"/>
              <w:rPr/>
            </w:pPr>
            <w:r>
              <w:rPr>
                <w:color w:val="231F20"/>
                <w:spacing w:val="-10"/>
              </w:rPr>
              <w:t>3050161.54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31"/>
              <w:spacing w:before="232" w:line="209" w:lineRule="auto"/>
              <w:rPr/>
            </w:pPr>
            <w:r>
              <w:rPr>
                <w:color w:val="231F20"/>
                <w:spacing w:val="-10"/>
              </w:rPr>
              <w:t>3094798.24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332"/>
              <w:spacing w:before="232" w:line="209" w:lineRule="auto"/>
              <w:rPr/>
            </w:pPr>
            <w:r>
              <w:rPr>
                <w:color w:val="231F20"/>
                <w:spacing w:val="-10"/>
              </w:rPr>
              <w:t>3135322.30</w:t>
            </w:r>
          </w:p>
        </w:tc>
      </w:tr>
      <w:tr>
        <w:trPr>
          <w:trHeight w:val="632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239"/>
              <w:spacing w:before="237" w:line="178" w:lineRule="auto"/>
              <w:rPr/>
            </w:pPr>
            <w:r>
              <w:rPr>
                <w:color w:val="231F20"/>
                <w:spacing w:val="-1"/>
              </w:rPr>
              <w:t>货币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681"/>
              <w:spacing w:before="234" w:line="209" w:lineRule="auto"/>
              <w:rPr/>
            </w:pPr>
            <w:r>
              <w:rPr>
                <w:color w:val="231F20"/>
                <w:spacing w:val="-10"/>
              </w:rPr>
              <w:t>685808.90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8"/>
              <w:spacing w:before="234" w:line="209" w:lineRule="auto"/>
              <w:rPr/>
            </w:pPr>
            <w:r>
              <w:rPr>
                <w:color w:val="231F20"/>
                <w:spacing w:val="-10"/>
              </w:rPr>
              <w:t>660610.52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9"/>
              <w:spacing w:before="234" w:line="209" w:lineRule="auto"/>
              <w:rPr/>
            </w:pPr>
            <w:r>
              <w:rPr>
                <w:color w:val="231F20"/>
                <w:spacing w:val="-10"/>
              </w:rPr>
              <w:t>628236.54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419"/>
              <w:spacing w:before="234" w:line="209" w:lineRule="auto"/>
              <w:rPr/>
            </w:pPr>
            <w:r>
              <w:rPr>
                <w:color w:val="231F20"/>
                <w:spacing w:val="-10"/>
              </w:rPr>
              <w:t>670959.41</w:t>
            </w:r>
          </w:p>
        </w:tc>
      </w:tr>
      <w:tr>
        <w:trPr>
          <w:trHeight w:val="632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424"/>
              <w:spacing w:before="238" w:line="178" w:lineRule="auto"/>
              <w:rPr/>
            </w:pPr>
            <w:r>
              <w:rPr>
                <w:color w:val="231F20"/>
                <w:spacing w:val="-2"/>
              </w:rPr>
              <w:t>流通中的货币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695"/>
              <w:spacing w:before="235" w:line="209" w:lineRule="auto"/>
              <w:rPr/>
            </w:pPr>
            <w:r>
              <w:rPr>
                <w:color w:val="231F20"/>
                <w:spacing w:val="-11"/>
              </w:rPr>
              <w:t>117210.50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32"/>
              <w:spacing w:before="235" w:line="209" w:lineRule="auto"/>
              <w:rPr/>
            </w:pPr>
            <w:r>
              <w:rPr>
                <w:color w:val="231F20"/>
                <w:spacing w:val="-11"/>
              </w:rPr>
              <w:t>117736.77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33"/>
              <w:spacing w:before="235" w:line="209" w:lineRule="auto"/>
              <w:rPr/>
            </w:pPr>
            <w:r>
              <w:rPr>
                <w:color w:val="231F20"/>
                <w:spacing w:val="-11"/>
              </w:rPr>
              <w:t>121830.00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433"/>
              <w:spacing w:before="235" w:line="209" w:lineRule="auto"/>
              <w:rPr/>
            </w:pPr>
            <w:r>
              <w:rPr>
                <w:color w:val="231F20"/>
                <w:spacing w:val="-11"/>
              </w:rPr>
              <w:t>128194.16</w:t>
            </w:r>
          </w:p>
        </w:tc>
      </w:tr>
      <w:tr>
        <w:trPr>
          <w:trHeight w:val="633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419"/>
              <w:spacing w:before="240" w:line="178" w:lineRule="auto"/>
              <w:rPr/>
            </w:pPr>
            <w:r>
              <w:rPr>
                <w:color w:val="231F20"/>
                <w:spacing w:val="-1"/>
              </w:rPr>
              <w:t>单位活期存款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681"/>
              <w:spacing w:before="237" w:line="209" w:lineRule="auto"/>
              <w:rPr/>
            </w:pPr>
            <w:r>
              <w:rPr>
                <w:color w:val="231F20"/>
                <w:spacing w:val="-10"/>
              </w:rPr>
              <w:t>568598.40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8"/>
              <w:spacing w:before="237" w:line="209" w:lineRule="auto"/>
              <w:rPr/>
            </w:pPr>
            <w:r>
              <w:rPr>
                <w:color w:val="231F20"/>
                <w:spacing w:val="-10"/>
              </w:rPr>
              <w:t>542873.75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9"/>
              <w:spacing w:before="237" w:line="209" w:lineRule="auto"/>
              <w:rPr/>
            </w:pPr>
            <w:r>
              <w:rPr>
                <w:color w:val="231F20"/>
                <w:spacing w:val="-10"/>
              </w:rPr>
              <w:t>506406.54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419"/>
              <w:spacing w:before="237" w:line="209" w:lineRule="auto"/>
              <w:rPr/>
            </w:pPr>
            <w:r>
              <w:rPr>
                <w:color w:val="231F20"/>
                <w:spacing w:val="-10"/>
              </w:rPr>
              <w:t>542765.25</w:t>
            </w:r>
          </w:p>
        </w:tc>
      </w:tr>
      <w:tr>
        <w:trPr>
          <w:trHeight w:val="632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243"/>
              <w:spacing w:before="240" w:line="178" w:lineRule="auto"/>
              <w:rPr/>
            </w:pPr>
            <w:r>
              <w:rPr>
                <w:color w:val="231F20"/>
                <w:spacing w:val="-2"/>
              </w:rPr>
              <w:t>准货币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591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2362143.26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28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2389551.02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29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2466561.70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329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2464362.89</w:t>
            </w:r>
          </w:p>
        </w:tc>
      </w:tr>
      <w:tr>
        <w:trPr>
          <w:trHeight w:val="633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419"/>
              <w:spacing w:before="242" w:line="178" w:lineRule="auto"/>
              <w:rPr/>
            </w:pPr>
            <w:r>
              <w:rPr>
                <w:color w:val="231F20"/>
                <w:spacing w:val="-1"/>
              </w:rPr>
              <w:t>单位定期存款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681"/>
              <w:spacing w:before="239" w:line="209" w:lineRule="auto"/>
              <w:rPr/>
            </w:pPr>
            <w:r>
              <w:rPr>
                <w:color w:val="231F20"/>
                <w:spacing w:val="-10"/>
              </w:rPr>
              <w:t>532332.10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8"/>
              <w:spacing w:before="239" w:line="209" w:lineRule="auto"/>
              <w:rPr/>
            </w:pPr>
            <w:r>
              <w:rPr>
                <w:color w:val="231F20"/>
                <w:spacing w:val="-10"/>
              </w:rPr>
              <w:t>543438.99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9"/>
              <w:spacing w:before="239" w:line="209" w:lineRule="auto"/>
              <w:rPr/>
            </w:pPr>
            <w:r>
              <w:rPr>
                <w:color w:val="231F20"/>
                <w:spacing w:val="-10"/>
              </w:rPr>
              <w:t>572859.65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419"/>
              <w:spacing w:before="239" w:line="209" w:lineRule="auto"/>
              <w:rPr/>
            </w:pPr>
            <w:r>
              <w:rPr>
                <w:color w:val="231F20"/>
                <w:spacing w:val="-10"/>
              </w:rPr>
              <w:t>552512.79</w:t>
            </w:r>
          </w:p>
        </w:tc>
      </w:tr>
      <w:tr>
        <w:trPr>
          <w:trHeight w:val="632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418"/>
              <w:spacing w:before="242" w:line="178" w:lineRule="auto"/>
              <w:rPr/>
            </w:pPr>
            <w:r>
              <w:rPr>
                <w:color w:val="231F20"/>
                <w:spacing w:val="-1"/>
              </w:rPr>
              <w:t>个人存款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606"/>
              <w:spacing w:before="240" w:line="209" w:lineRule="auto"/>
              <w:rPr/>
            </w:pPr>
            <w:r>
              <w:rPr>
                <w:color w:val="231F20"/>
                <w:spacing w:val="-11"/>
              </w:rPr>
              <w:t>1464460.63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43"/>
              <w:spacing w:before="240" w:line="209" w:lineRule="auto"/>
              <w:rPr/>
            </w:pPr>
            <w:r>
              <w:rPr>
                <w:color w:val="231F20"/>
                <w:spacing w:val="-11"/>
              </w:rPr>
              <w:t>1471458.81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343"/>
              <w:spacing w:before="240" w:line="209" w:lineRule="auto"/>
              <w:rPr/>
            </w:pPr>
            <w:r>
              <w:rPr>
                <w:color w:val="231F20"/>
                <w:spacing w:val="-11"/>
              </w:rPr>
              <w:t>1497233.39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344"/>
              <w:spacing w:before="240" w:line="209" w:lineRule="auto"/>
              <w:rPr/>
            </w:pPr>
            <w:r>
              <w:rPr>
                <w:color w:val="231F20"/>
                <w:spacing w:val="-11"/>
              </w:rPr>
              <w:t>1521245.67</w:t>
            </w:r>
          </w:p>
        </w:tc>
      </w:tr>
      <w:tr>
        <w:trPr>
          <w:trHeight w:val="633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419"/>
              <w:spacing w:before="245" w:line="178" w:lineRule="auto"/>
              <w:rPr/>
            </w:pPr>
            <w:r>
              <w:rPr>
                <w:color w:val="231F20"/>
                <w:spacing w:val="-1"/>
              </w:rPr>
              <w:t>其他存款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683"/>
              <w:spacing w:before="241" w:line="209" w:lineRule="auto"/>
              <w:rPr/>
            </w:pPr>
            <w:r>
              <w:rPr>
                <w:color w:val="231F20"/>
                <w:spacing w:val="-10"/>
              </w:rPr>
              <w:t>365350.53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20"/>
              <w:spacing w:before="241" w:line="209" w:lineRule="auto"/>
              <w:rPr/>
            </w:pPr>
            <w:r>
              <w:rPr>
                <w:color w:val="231F20"/>
                <w:spacing w:val="-10"/>
              </w:rPr>
              <w:t>374653.22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21"/>
              <w:spacing w:before="241" w:line="209" w:lineRule="auto"/>
              <w:rPr/>
            </w:pPr>
            <w:r>
              <w:rPr>
                <w:color w:val="231F20"/>
                <w:spacing w:val="-10"/>
              </w:rPr>
              <w:t>396468.66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421"/>
              <w:spacing w:before="241" w:line="209" w:lineRule="auto"/>
              <w:rPr/>
            </w:pPr>
            <w:r>
              <w:rPr>
                <w:color w:val="231F20"/>
                <w:spacing w:val="-10"/>
              </w:rPr>
              <w:t>390604.44</w:t>
            </w:r>
          </w:p>
        </w:tc>
      </w:tr>
      <w:tr>
        <w:trPr>
          <w:trHeight w:val="633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60"/>
              <w:spacing w:before="244" w:line="177" w:lineRule="auto"/>
              <w:rPr/>
            </w:pPr>
            <w:r>
              <w:rPr>
                <w:color w:val="231F20"/>
                <w:spacing w:val="-1"/>
              </w:rPr>
              <w:t>不纳入广义货币的存款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770"/>
              <w:spacing w:before="242" w:line="209" w:lineRule="auto"/>
              <w:rPr/>
            </w:pPr>
            <w:r>
              <w:rPr>
                <w:color w:val="231F20"/>
                <w:spacing w:val="-10"/>
              </w:rPr>
              <w:t>52542.14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508"/>
              <w:spacing w:before="242" w:line="209" w:lineRule="auto"/>
              <w:rPr/>
            </w:pPr>
            <w:r>
              <w:rPr>
                <w:color w:val="231F20"/>
                <w:spacing w:val="-10"/>
              </w:rPr>
              <w:t>52295.64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508"/>
              <w:spacing w:before="242" w:line="209" w:lineRule="auto"/>
              <w:rPr/>
            </w:pPr>
            <w:r>
              <w:rPr>
                <w:color w:val="231F20"/>
                <w:spacing w:val="-10"/>
              </w:rPr>
              <w:t>51575.93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508"/>
              <w:spacing w:before="242" w:line="209" w:lineRule="auto"/>
              <w:rPr/>
            </w:pPr>
            <w:r>
              <w:rPr>
                <w:color w:val="231F20"/>
                <w:spacing w:val="-10"/>
              </w:rPr>
              <w:t>52935.76</w:t>
            </w:r>
          </w:p>
        </w:tc>
      </w:tr>
      <w:tr>
        <w:trPr>
          <w:trHeight w:val="632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60"/>
              <w:spacing w:before="246" w:line="177" w:lineRule="auto"/>
              <w:rPr/>
            </w:pPr>
            <w:r>
              <w:rPr>
                <w:color w:val="231F20"/>
                <w:spacing w:val="-1"/>
              </w:rPr>
              <w:t>债券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677"/>
              <w:spacing w:before="242" w:line="209" w:lineRule="auto"/>
              <w:rPr/>
            </w:pPr>
            <w:r>
              <w:rPr>
                <w:color w:val="231F20"/>
                <w:spacing w:val="-10"/>
              </w:rPr>
              <w:t>429527.72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5"/>
              <w:spacing w:before="242" w:line="209" w:lineRule="auto"/>
              <w:rPr/>
            </w:pPr>
            <w:r>
              <w:rPr>
                <w:color w:val="231F20"/>
                <w:spacing w:val="-10"/>
              </w:rPr>
              <w:t>454750.41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415"/>
              <w:spacing w:before="242" w:line="209" w:lineRule="auto"/>
              <w:rPr/>
            </w:pPr>
            <w:r>
              <w:rPr>
                <w:color w:val="231F20"/>
                <w:spacing w:val="-10"/>
              </w:rPr>
              <w:t>469767.84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416"/>
              <w:spacing w:before="242" w:line="209" w:lineRule="auto"/>
              <w:rPr/>
            </w:pPr>
            <w:r>
              <w:rPr>
                <w:color w:val="231F20"/>
                <w:spacing w:val="-10"/>
              </w:rPr>
              <w:t>481220.42</w:t>
            </w:r>
          </w:p>
        </w:tc>
      </w:tr>
      <w:tr>
        <w:trPr>
          <w:trHeight w:val="632" w:hRule="atLeast"/>
        </w:trPr>
        <w:tc>
          <w:tcPr>
            <w:tcW w:w="2445" w:type="dxa"/>
            <w:vAlign w:val="top"/>
          </w:tcPr>
          <w:p>
            <w:pPr>
              <w:pStyle w:val="TableText"/>
              <w:ind w:left="62"/>
              <w:spacing w:before="246" w:line="178" w:lineRule="auto"/>
              <w:rPr/>
            </w:pPr>
            <w:r>
              <w:rPr>
                <w:color w:val="231F20"/>
                <w:spacing w:val="-2"/>
              </w:rPr>
              <w:t>实收资本</w:t>
            </w:r>
          </w:p>
        </w:tc>
        <w:tc>
          <w:tcPr>
            <w:tcW w:w="1761" w:type="dxa"/>
            <w:vAlign w:val="top"/>
          </w:tcPr>
          <w:p>
            <w:pPr>
              <w:pStyle w:val="TableText"/>
              <w:ind w:left="770"/>
              <w:spacing w:before="244" w:line="209" w:lineRule="auto"/>
              <w:rPr/>
            </w:pPr>
            <w:r>
              <w:rPr>
                <w:color w:val="231F20"/>
                <w:spacing w:val="-10"/>
              </w:rPr>
              <w:t>57632.67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508"/>
              <w:spacing w:before="244" w:line="209" w:lineRule="auto"/>
              <w:rPr/>
            </w:pPr>
            <w:r>
              <w:rPr>
                <w:color w:val="231F20"/>
                <w:spacing w:val="-10"/>
              </w:rPr>
              <w:t>57995.47</w:t>
            </w:r>
          </w:p>
        </w:tc>
        <w:tc>
          <w:tcPr>
            <w:tcW w:w="1498" w:type="dxa"/>
            <w:vAlign w:val="top"/>
          </w:tcPr>
          <w:p>
            <w:pPr>
              <w:pStyle w:val="TableText"/>
              <w:ind w:left="508"/>
              <w:spacing w:before="244" w:line="209" w:lineRule="auto"/>
              <w:rPr/>
            </w:pPr>
            <w:r>
              <w:rPr>
                <w:color w:val="231F20"/>
                <w:spacing w:val="-10"/>
              </w:rPr>
              <w:t>58051.47</w:t>
            </w:r>
          </w:p>
        </w:tc>
        <w:tc>
          <w:tcPr>
            <w:tcW w:w="1569" w:type="dxa"/>
            <w:vAlign w:val="top"/>
          </w:tcPr>
          <w:p>
            <w:pPr>
              <w:pStyle w:val="TableText"/>
              <w:ind w:left="508"/>
              <w:spacing w:before="244" w:line="209" w:lineRule="auto"/>
              <w:rPr/>
            </w:pPr>
            <w:r>
              <w:rPr>
                <w:color w:val="231F20"/>
                <w:spacing w:val="-10"/>
              </w:rPr>
              <w:t>58321.57</w:t>
            </w:r>
          </w:p>
        </w:tc>
      </w:tr>
      <w:tr>
        <w:trPr>
          <w:trHeight w:val="643" w:hRule="atLeast"/>
        </w:trPr>
        <w:tc>
          <w:tcPr>
            <w:tcW w:w="244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9"/>
              <w:spacing w:before="248" w:line="176" w:lineRule="auto"/>
              <w:rPr/>
            </w:pPr>
            <w:r>
              <w:rPr>
                <w:color w:val="231F20"/>
              </w:rPr>
              <w:t>其他（净）</w:t>
            </w:r>
          </w:p>
        </w:tc>
        <w:tc>
          <w:tcPr>
            <w:tcW w:w="176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769"/>
              <w:spacing w:before="245" w:line="209" w:lineRule="auto"/>
              <w:rPr/>
            </w:pPr>
            <w:r>
              <w:rPr>
                <w:color w:val="231F20"/>
                <w:spacing w:val="-10"/>
              </w:rPr>
              <w:t>93487.88</w:t>
            </w:r>
          </w:p>
        </w:tc>
        <w:tc>
          <w:tcPr>
            <w:tcW w:w="149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32"/>
              <w:spacing w:before="245" w:line="209" w:lineRule="auto"/>
              <w:rPr/>
            </w:pPr>
            <w:r>
              <w:rPr>
                <w:color w:val="231F20"/>
                <w:spacing w:val="-11"/>
              </w:rPr>
              <w:t>101778.39</w:t>
            </w:r>
          </w:p>
        </w:tc>
        <w:tc>
          <w:tcPr>
            <w:tcW w:w="149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33"/>
              <w:spacing w:before="245" w:line="209" w:lineRule="auto"/>
              <w:rPr/>
            </w:pPr>
            <w:r>
              <w:rPr>
                <w:color w:val="231F20"/>
                <w:spacing w:val="-11"/>
              </w:rPr>
              <w:t>104102.61</w:t>
            </w:r>
          </w:p>
        </w:tc>
        <w:tc>
          <w:tcPr>
            <w:tcW w:w="156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33"/>
              <w:spacing w:before="245" w:line="209" w:lineRule="auto"/>
              <w:rPr/>
            </w:pPr>
            <w:r>
              <w:rPr>
                <w:color w:val="231F20"/>
                <w:spacing w:val="-11"/>
              </w:rPr>
              <w:t>110867.02</w:t>
            </w:r>
          </w:p>
        </w:tc>
      </w:tr>
    </w:tbl>
    <w:p>
      <w:pPr>
        <w:pStyle w:val="BodyText"/>
        <w:ind w:left="354"/>
        <w:spacing w:before="228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spacing w:line="198" w:lineRule="auto"/>
        <w:sectPr>
          <w:headerReference w:type="default" r:id="rId371"/>
          <w:pgSz w:w="11906" w:h="16158"/>
          <w:pgMar w:top="1367" w:right="1700" w:bottom="400" w:left="1417" w:header="1044" w:footer="0" w:gutter="0"/>
        </w:sectPr>
        <w:rPr>
          <w:sz w:val="18"/>
          <w:szCs w:val="18"/>
        </w:rPr>
      </w:pPr>
    </w:p>
    <w:p>
      <w:pPr>
        <w:pStyle w:val="BodyText"/>
        <w:spacing w:line="284" w:lineRule="auto"/>
        <w:rPr/>
      </w:pPr>
      <w:r/>
    </w:p>
    <w:p>
      <w:pPr>
        <w:pStyle w:val="BodyText"/>
        <w:ind w:left="443"/>
        <w:spacing w:before="102" w:line="196" w:lineRule="auto"/>
        <w:rPr/>
      </w:pPr>
      <w:r>
        <w:rPr>
          <w:color w:val="174B8B"/>
          <w:spacing w:val="-1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8                                          2024</w:t>
      </w:r>
      <w:r>
        <w:rPr>
          <w:color w:val="174B8B"/>
          <w:spacing w:val="-1"/>
        </w:rPr>
        <w:t>年货币当局资产负债表</w:t>
      </w:r>
    </w:p>
    <w:p>
      <w:pPr>
        <w:pStyle w:val="BodyText"/>
        <w:ind w:left="3761"/>
        <w:spacing w:line="242" w:lineRule="exact"/>
        <w:rPr/>
      </w:pPr>
      <w:r>
        <w:rPr>
          <w:color w:val="231F20"/>
          <w:spacing w:val="3"/>
          <w:position w:val="-1"/>
        </w:rPr>
        <w:t>（季末余额）</w:t>
      </w:r>
    </w:p>
    <w:p>
      <w:pPr>
        <w:pStyle w:val="BodyText"/>
        <w:ind w:left="7287"/>
        <w:spacing w:before="1" w:line="179" w:lineRule="auto"/>
        <w:rPr/>
      </w:pPr>
      <w:r>
        <w:rPr>
          <w:color w:val="231F20"/>
          <w:spacing w:val="-1"/>
        </w:rPr>
        <w:t>单位：亿元</w:t>
      </w:r>
    </w:p>
    <w:p>
      <w:pPr>
        <w:spacing w:line="107" w:lineRule="exact"/>
        <w:rPr/>
      </w:pPr>
      <w:r/>
    </w:p>
    <w:tbl>
      <w:tblPr>
        <w:tblStyle w:val="TableNormal"/>
        <w:tblW w:w="879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353"/>
        <w:gridCol w:w="1470"/>
        <w:gridCol w:w="1309"/>
        <w:gridCol w:w="1309"/>
        <w:gridCol w:w="1356"/>
      </w:tblGrid>
      <w:tr>
        <w:trPr>
          <w:trHeight w:val="460" w:hRule="atLeast"/>
        </w:trPr>
        <w:tc>
          <w:tcPr>
            <w:tcW w:w="3353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423"/>
              <w:spacing w:before="142" w:line="172" w:lineRule="auto"/>
              <w:rPr/>
            </w:pPr>
            <w:r>
              <w:drawing>
                <wp:anchor distT="0" distB="0" distL="0" distR="0" simplePos="0" relativeHeight="252638208" behindDoc="1" locked="0" layoutInCell="1" allowOverlap="1">
                  <wp:simplePos x="0" y="0"/>
                  <wp:positionH relativeFrom="column">
                    <wp:posOffset>-5</wp:posOffset>
                  </wp:positionH>
                  <wp:positionV relativeFrom="paragraph">
                    <wp:posOffset>-6215</wp:posOffset>
                  </wp:positionV>
                  <wp:extent cx="5586704" cy="7177494"/>
                  <wp:effectExtent l="0" t="0" r="0" b="0"/>
                  <wp:wrapNone/>
                  <wp:docPr id="724" name="IM 7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4" name="IM 724"/>
                          <pic:cNvPicPr/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86704" cy="7177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470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504"/>
              <w:spacing w:before="137" w:line="178" w:lineRule="auto"/>
              <w:rPr/>
            </w:pPr>
            <w:r>
              <w:rPr>
                <w:color w:val="231F20"/>
                <w:spacing w:val="-1"/>
              </w:rPr>
              <w:t>第一季度</w:t>
            </w:r>
          </w:p>
        </w:tc>
        <w:tc>
          <w:tcPr>
            <w:tcW w:w="130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43"/>
              <w:spacing w:before="137" w:line="178" w:lineRule="auto"/>
              <w:rPr/>
            </w:pPr>
            <w:r>
              <w:rPr>
                <w:color w:val="231F20"/>
                <w:spacing w:val="-1"/>
              </w:rPr>
              <w:t>第二季度</w:t>
            </w:r>
          </w:p>
        </w:tc>
        <w:tc>
          <w:tcPr>
            <w:tcW w:w="130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44"/>
              <w:spacing w:before="137" w:line="178" w:lineRule="auto"/>
              <w:rPr/>
            </w:pPr>
            <w:r>
              <w:rPr>
                <w:color w:val="231F20"/>
                <w:spacing w:val="-1"/>
              </w:rPr>
              <w:t>第三季度</w:t>
            </w:r>
          </w:p>
        </w:tc>
        <w:tc>
          <w:tcPr>
            <w:tcW w:w="1356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44"/>
              <w:spacing w:before="137" w:line="178" w:lineRule="auto"/>
              <w:rPr/>
            </w:pPr>
            <w:r>
              <w:rPr>
                <w:color w:val="231F20"/>
                <w:spacing w:val="-1"/>
              </w:rPr>
              <w:t>第四季度</w:t>
            </w:r>
          </w:p>
        </w:tc>
      </w:tr>
      <w:tr>
        <w:trPr>
          <w:trHeight w:val="460" w:hRule="atLeast"/>
        </w:trPr>
        <w:tc>
          <w:tcPr>
            <w:tcW w:w="3353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8"/>
              <w:spacing w:before="139" w:line="177" w:lineRule="auto"/>
              <w:rPr/>
            </w:pPr>
            <w:r>
              <w:rPr>
                <w:color w:val="231F20"/>
                <w:spacing w:val="-5"/>
              </w:rPr>
              <w:t>国外资产</w:t>
            </w:r>
          </w:p>
        </w:tc>
        <w:tc>
          <w:tcPr>
            <w:tcW w:w="1470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22"/>
              <w:spacing w:before="136" w:line="209" w:lineRule="auto"/>
              <w:rPr/>
            </w:pPr>
            <w:r>
              <w:rPr>
                <w:color w:val="231F20"/>
                <w:spacing w:val="-10"/>
              </w:rPr>
              <w:t>235897.47</w:t>
            </w:r>
          </w:p>
        </w:tc>
        <w:tc>
          <w:tcPr>
            <w:tcW w:w="130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62"/>
              <w:spacing w:before="136" w:line="209" w:lineRule="auto"/>
              <w:rPr/>
            </w:pPr>
            <w:r>
              <w:rPr>
                <w:color w:val="231F20"/>
                <w:spacing w:val="-10"/>
              </w:rPr>
              <w:t>235325.91</w:t>
            </w:r>
          </w:p>
        </w:tc>
        <w:tc>
          <w:tcPr>
            <w:tcW w:w="130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62"/>
              <w:spacing w:before="136" w:line="209" w:lineRule="auto"/>
              <w:rPr/>
            </w:pPr>
            <w:r>
              <w:rPr>
                <w:color w:val="231F20"/>
                <w:spacing w:val="-10"/>
              </w:rPr>
              <w:t>234347.05</w:t>
            </w:r>
          </w:p>
        </w:tc>
        <w:tc>
          <w:tcPr>
            <w:tcW w:w="135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62"/>
              <w:spacing w:before="136" w:line="209" w:lineRule="auto"/>
              <w:rPr/>
            </w:pPr>
            <w:r>
              <w:rPr>
                <w:color w:val="231F20"/>
                <w:spacing w:val="-10"/>
              </w:rPr>
              <w:t>233256.54</w:t>
            </w:r>
          </w:p>
        </w:tc>
      </w:tr>
      <w:tr>
        <w:trPr>
          <w:trHeight w:val="469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419"/>
              <w:spacing w:before="151" w:line="176" w:lineRule="auto"/>
              <w:rPr/>
            </w:pPr>
            <w:r>
              <w:rPr>
                <w:color w:val="231F20"/>
                <w:spacing w:val="-1"/>
              </w:rPr>
              <w:t>外汇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22"/>
              <w:spacing w:before="147" w:line="209" w:lineRule="auto"/>
              <w:rPr/>
            </w:pPr>
            <w:r>
              <w:rPr>
                <w:color w:val="231F20"/>
                <w:spacing w:val="-10"/>
              </w:rPr>
              <w:t>222681.72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62"/>
              <w:spacing w:before="147" w:line="209" w:lineRule="auto"/>
              <w:rPr/>
            </w:pPr>
            <w:r>
              <w:rPr>
                <w:color w:val="231F20"/>
                <w:spacing w:val="-10"/>
              </w:rPr>
              <w:t>221899.72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62"/>
              <w:spacing w:before="147" w:line="209" w:lineRule="auto"/>
              <w:rPr/>
            </w:pPr>
            <w:r>
              <w:rPr>
                <w:color w:val="231F20"/>
                <w:spacing w:val="-10"/>
              </w:rPr>
              <w:t>220966.47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262"/>
              <w:spacing w:before="147" w:line="209" w:lineRule="auto"/>
              <w:rPr/>
            </w:pPr>
            <w:r>
              <w:rPr>
                <w:color w:val="231F20"/>
                <w:spacing w:val="-10"/>
              </w:rPr>
              <w:t>219918.95</w:t>
            </w:r>
          </w:p>
        </w:tc>
      </w:tr>
      <w:tr>
        <w:trPr>
          <w:trHeight w:val="471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419"/>
              <w:spacing w:before="151" w:line="178" w:lineRule="auto"/>
              <w:rPr/>
            </w:pPr>
            <w:r>
              <w:rPr>
                <w:color w:val="231F20"/>
                <w:spacing w:val="-1"/>
              </w:rPr>
              <w:t>货币黄金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98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4181.74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38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4192.60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38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4192.60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438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4284.69</w:t>
            </w:r>
          </w:p>
        </w:tc>
      </w:tr>
      <w:tr>
        <w:trPr>
          <w:trHeight w:val="471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419"/>
              <w:spacing w:before="151" w:line="178" w:lineRule="auto"/>
              <w:rPr/>
            </w:pPr>
            <w:r>
              <w:rPr>
                <w:color w:val="231F20"/>
                <w:spacing w:val="-1"/>
              </w:rPr>
              <w:t>其他国外资产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01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9034.01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40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9233.60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41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9187.98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441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9052.90</w:t>
            </w:r>
          </w:p>
        </w:tc>
      </w:tr>
      <w:tr>
        <w:trPr>
          <w:trHeight w:val="469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39"/>
              <w:spacing w:before="152" w:line="177" w:lineRule="auto"/>
              <w:rPr/>
            </w:pPr>
            <w:r>
              <w:rPr>
                <w:color w:val="231F20"/>
                <w:spacing w:val="-1"/>
              </w:rPr>
              <w:t>对政府债权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26"/>
              <w:spacing w:before="148" w:line="209" w:lineRule="auto"/>
              <w:rPr/>
            </w:pPr>
            <w:r>
              <w:rPr>
                <w:color w:val="231F20"/>
                <w:spacing w:val="-11"/>
              </w:rPr>
              <w:t>15240.68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66"/>
              <w:spacing w:before="148" w:line="209" w:lineRule="auto"/>
              <w:rPr/>
            </w:pPr>
            <w:r>
              <w:rPr>
                <w:color w:val="231F20"/>
                <w:spacing w:val="-11"/>
              </w:rPr>
              <w:t>15240.68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51"/>
              <w:spacing w:before="148" w:line="209" w:lineRule="auto"/>
              <w:rPr/>
            </w:pPr>
            <w:r>
              <w:rPr>
                <w:color w:val="231F20"/>
                <w:spacing w:val="-10"/>
              </w:rPr>
              <w:t>22613.79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352"/>
              <w:spacing w:before="148" w:line="209" w:lineRule="auto"/>
              <w:rPr/>
            </w:pPr>
            <w:r>
              <w:rPr>
                <w:color w:val="231F20"/>
                <w:spacing w:val="-10"/>
              </w:rPr>
              <w:t>28781.48</w:t>
            </w:r>
          </w:p>
        </w:tc>
      </w:tr>
      <w:tr>
        <w:trPr>
          <w:trHeight w:val="471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39"/>
              <w:spacing w:before="153" w:line="178" w:lineRule="auto"/>
              <w:rPr/>
            </w:pPr>
            <w:r>
              <w:rPr>
                <w:color w:val="231F20"/>
                <w:spacing w:val="-1"/>
              </w:rPr>
              <w:t>对其他存款性公司债权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37"/>
              <w:spacing w:before="150" w:line="209" w:lineRule="auto"/>
              <w:rPr/>
            </w:pPr>
            <w:r>
              <w:rPr>
                <w:color w:val="231F20"/>
                <w:spacing w:val="-11"/>
              </w:rPr>
              <w:t>163526.82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76"/>
              <w:spacing w:before="150" w:line="209" w:lineRule="auto"/>
              <w:rPr/>
            </w:pPr>
            <w:r>
              <w:rPr>
                <w:color w:val="231F20"/>
                <w:spacing w:val="-11"/>
              </w:rPr>
              <w:t>165509.41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77"/>
              <w:spacing w:before="150" w:line="209" w:lineRule="auto"/>
              <w:rPr/>
            </w:pPr>
            <w:r>
              <w:rPr>
                <w:color w:val="231F20"/>
                <w:spacing w:val="-11"/>
              </w:rPr>
              <w:t>174252.83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277"/>
              <w:spacing w:before="150" w:line="209" w:lineRule="auto"/>
              <w:rPr/>
            </w:pPr>
            <w:r>
              <w:rPr>
                <w:color w:val="231F20"/>
                <w:spacing w:val="-11"/>
              </w:rPr>
              <w:t>156430.27</w:t>
            </w:r>
          </w:p>
        </w:tc>
      </w:tr>
      <w:tr>
        <w:trPr>
          <w:trHeight w:val="471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39"/>
              <w:spacing w:before="153" w:line="178" w:lineRule="auto"/>
              <w:rPr/>
            </w:pPr>
            <w:r>
              <w:rPr>
                <w:color w:val="231F20"/>
                <w:spacing w:val="-1"/>
              </w:rPr>
              <w:t>对其他金融性公司债权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04"/>
              <w:spacing w:before="150" w:line="209" w:lineRule="auto"/>
              <w:rPr/>
            </w:pPr>
            <w:r>
              <w:rPr>
                <w:color w:val="231F20"/>
                <w:spacing w:val="-10"/>
              </w:rPr>
              <w:t>3218.20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43"/>
              <w:spacing w:before="150" w:line="209" w:lineRule="auto"/>
              <w:rPr/>
            </w:pPr>
            <w:r>
              <w:rPr>
                <w:color w:val="231F20"/>
                <w:spacing w:val="-10"/>
              </w:rPr>
              <w:t>3800.20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39"/>
              <w:spacing w:before="150" w:line="209" w:lineRule="auto"/>
              <w:rPr/>
            </w:pPr>
            <w:r>
              <w:rPr>
                <w:color w:val="231F20"/>
                <w:spacing w:val="-9"/>
              </w:rPr>
              <w:t>7427.28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442"/>
              <w:spacing w:before="150" w:line="209" w:lineRule="auto"/>
              <w:rPr/>
            </w:pPr>
            <w:r>
              <w:rPr>
                <w:color w:val="231F20"/>
                <w:spacing w:val="-10"/>
              </w:rPr>
              <w:t>6709.92</w:t>
            </w:r>
          </w:p>
        </w:tc>
      </w:tr>
      <w:tr>
        <w:trPr>
          <w:trHeight w:val="469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39"/>
              <w:spacing w:before="154" w:line="177" w:lineRule="auto"/>
              <w:rPr/>
            </w:pPr>
            <w:r>
              <w:rPr>
                <w:color w:val="231F20"/>
                <w:spacing w:val="-1"/>
              </w:rPr>
              <w:t>对非金融部门债权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996"/>
              <w:spacing w:before="239" w:line="152" w:lineRule="exact"/>
              <w:rPr/>
            </w:pPr>
            <w:r>
              <w:rPr>
                <w:color w:val="231F20"/>
                <w:spacing w:val="19"/>
                <w:position w:val="-8"/>
              </w:rPr>
              <w:t>—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835"/>
              <w:spacing w:before="239" w:line="152" w:lineRule="exact"/>
              <w:rPr/>
            </w:pPr>
            <w:r>
              <w:rPr>
                <w:color w:val="231F20"/>
                <w:spacing w:val="19"/>
                <w:position w:val="-8"/>
              </w:rPr>
              <w:t>—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836"/>
              <w:spacing w:before="239" w:line="152" w:lineRule="exact"/>
              <w:rPr/>
            </w:pPr>
            <w:r>
              <w:rPr>
                <w:color w:val="231F20"/>
                <w:spacing w:val="19"/>
                <w:position w:val="-8"/>
              </w:rPr>
              <w:t>—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836"/>
              <w:spacing w:before="239" w:line="152" w:lineRule="exact"/>
              <w:rPr/>
            </w:pPr>
            <w:r>
              <w:rPr>
                <w:color w:val="231F20"/>
                <w:spacing w:val="19"/>
                <w:position w:val="-8"/>
              </w:rPr>
              <w:t>—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39"/>
              <w:spacing w:before="155" w:line="178" w:lineRule="auto"/>
              <w:rPr/>
            </w:pPr>
            <w:r>
              <w:rPr>
                <w:color w:val="231F20"/>
                <w:spacing w:val="-1"/>
              </w:rPr>
              <w:t>其他资产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2"/>
              <w:spacing w:before="152" w:line="209" w:lineRule="auto"/>
              <w:rPr/>
            </w:pPr>
            <w:r>
              <w:rPr>
                <w:color w:val="231F20"/>
                <w:spacing w:val="-10"/>
              </w:rPr>
              <w:t>20977.51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66"/>
              <w:spacing w:before="152" w:line="209" w:lineRule="auto"/>
              <w:rPr/>
            </w:pPr>
            <w:r>
              <w:rPr>
                <w:color w:val="231F20"/>
                <w:spacing w:val="-11"/>
              </w:rPr>
              <w:t>16670.58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66"/>
              <w:spacing w:before="152" w:line="209" w:lineRule="auto"/>
              <w:rPr/>
            </w:pPr>
            <w:r>
              <w:rPr>
                <w:color w:val="231F20"/>
                <w:spacing w:val="-11"/>
              </w:rPr>
              <w:t>16409.69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367"/>
              <w:spacing w:before="152" w:line="209" w:lineRule="auto"/>
              <w:rPr/>
            </w:pPr>
            <w:r>
              <w:rPr>
                <w:color w:val="231F20"/>
                <w:spacing w:val="-11"/>
              </w:rPr>
              <w:t>15335.10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67"/>
              <w:spacing w:before="156" w:line="177" w:lineRule="auto"/>
              <w:rPr/>
            </w:pPr>
            <w:r>
              <w:rPr>
                <w:color w:val="231F20"/>
                <w:spacing w:val="-3"/>
              </w:rPr>
              <w:t>总资产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20"/>
              <w:spacing w:before="153" w:line="209" w:lineRule="auto"/>
              <w:rPr/>
            </w:pPr>
            <w:r>
              <w:rPr>
                <w:color w:val="231F20"/>
                <w:spacing w:val="-10"/>
              </w:rPr>
              <w:t>438860.69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59"/>
              <w:spacing w:before="153" w:line="209" w:lineRule="auto"/>
              <w:rPr/>
            </w:pPr>
            <w:r>
              <w:rPr>
                <w:color w:val="231F20"/>
                <w:spacing w:val="-10"/>
              </w:rPr>
              <w:t>436546.79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59"/>
              <w:spacing w:before="153" w:line="209" w:lineRule="auto"/>
              <w:rPr/>
            </w:pPr>
            <w:r>
              <w:rPr>
                <w:color w:val="231F20"/>
                <w:spacing w:val="-10"/>
              </w:rPr>
              <w:t>455050.63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260"/>
              <w:spacing w:before="153" w:line="209" w:lineRule="auto"/>
              <w:rPr/>
            </w:pPr>
            <w:r>
              <w:rPr>
                <w:color w:val="231F20"/>
                <w:spacing w:val="-10"/>
              </w:rPr>
              <w:t>440513.31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38"/>
              <w:spacing w:before="158" w:line="178" w:lineRule="auto"/>
              <w:rPr/>
            </w:pPr>
            <w:r>
              <w:rPr>
                <w:color w:val="231F20"/>
                <w:spacing w:val="-1"/>
              </w:rPr>
              <w:t>储备货币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25"/>
              <w:spacing w:before="154" w:line="209" w:lineRule="auto"/>
              <w:rPr/>
            </w:pPr>
            <w:r>
              <w:rPr>
                <w:color w:val="231F20"/>
                <w:spacing w:val="-10"/>
              </w:rPr>
              <w:t>370949.95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65"/>
              <w:spacing w:before="154" w:line="209" w:lineRule="auto"/>
              <w:rPr/>
            </w:pPr>
            <w:r>
              <w:rPr>
                <w:color w:val="231F20"/>
                <w:spacing w:val="-10"/>
              </w:rPr>
              <w:t>371285.63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65"/>
              <w:spacing w:before="154" w:line="209" w:lineRule="auto"/>
              <w:rPr/>
            </w:pPr>
            <w:r>
              <w:rPr>
                <w:color w:val="231F20"/>
                <w:spacing w:val="-10"/>
              </w:rPr>
              <w:t>379130.07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265"/>
              <w:spacing w:before="154" w:line="209" w:lineRule="auto"/>
              <w:rPr/>
            </w:pPr>
            <w:r>
              <w:rPr>
                <w:color w:val="231F20"/>
                <w:spacing w:val="-10"/>
              </w:rPr>
              <w:t>368040.14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419"/>
              <w:spacing w:before="157" w:line="178" w:lineRule="auto"/>
              <w:rPr/>
            </w:pPr>
            <w:r>
              <w:rPr>
                <w:color w:val="231F20"/>
                <w:spacing w:val="-1"/>
              </w:rPr>
              <w:t>货币发行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37"/>
              <w:spacing w:before="155" w:line="209" w:lineRule="auto"/>
              <w:rPr/>
            </w:pPr>
            <w:r>
              <w:rPr>
                <w:color w:val="231F20"/>
                <w:spacing w:val="-11"/>
              </w:rPr>
              <w:t>122842.95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76"/>
              <w:spacing w:before="155" w:line="209" w:lineRule="auto"/>
              <w:rPr/>
            </w:pPr>
            <w:r>
              <w:rPr>
                <w:color w:val="231F20"/>
                <w:spacing w:val="-11"/>
              </w:rPr>
              <w:t>122507.22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77"/>
              <w:spacing w:before="155" w:line="209" w:lineRule="auto"/>
              <w:rPr/>
            </w:pPr>
            <w:r>
              <w:rPr>
                <w:color w:val="231F20"/>
                <w:spacing w:val="-11"/>
              </w:rPr>
              <w:t>126973.62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277"/>
              <w:spacing w:before="155" w:line="209" w:lineRule="auto"/>
              <w:rPr/>
            </w:pPr>
            <w:r>
              <w:rPr>
                <w:color w:val="231F20"/>
                <w:spacing w:val="-11"/>
              </w:rPr>
              <w:t>133302.35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420"/>
              <w:spacing w:before="159" w:line="178" w:lineRule="auto"/>
              <w:rPr/>
            </w:pPr>
            <w:r>
              <w:rPr>
                <w:color w:val="231F20"/>
                <w:spacing w:val="-1"/>
              </w:rPr>
              <w:t>金融性公司存款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22"/>
              <w:spacing w:before="156" w:line="209" w:lineRule="auto"/>
              <w:rPr/>
            </w:pPr>
            <w:r>
              <w:rPr>
                <w:color w:val="231F20"/>
                <w:spacing w:val="-10"/>
              </w:rPr>
              <w:t>224850.04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62"/>
              <w:spacing w:before="156" w:line="209" w:lineRule="auto"/>
              <w:rPr/>
            </w:pPr>
            <w:r>
              <w:rPr>
                <w:color w:val="231F20"/>
                <w:spacing w:val="-10"/>
              </w:rPr>
              <w:t>225480.77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62"/>
              <w:spacing w:before="156" w:line="209" w:lineRule="auto"/>
              <w:rPr/>
            </w:pPr>
            <w:r>
              <w:rPr>
                <w:color w:val="231F20"/>
                <w:spacing w:val="-10"/>
              </w:rPr>
              <w:t>227983.54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262"/>
              <w:spacing w:before="156" w:line="209" w:lineRule="auto"/>
              <w:rPr/>
            </w:pPr>
            <w:r>
              <w:rPr>
                <w:color w:val="231F20"/>
                <w:spacing w:val="-10"/>
              </w:rPr>
              <w:t>210586.20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599"/>
              <w:spacing w:before="160" w:line="178" w:lineRule="auto"/>
              <w:rPr/>
            </w:pPr>
            <w:r>
              <w:rPr>
                <w:color w:val="231F20"/>
                <w:spacing w:val="-1"/>
              </w:rPr>
              <w:t>其他存款性公司存款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422"/>
              <w:spacing w:before="157" w:line="209" w:lineRule="auto"/>
              <w:rPr/>
            </w:pPr>
            <w:r>
              <w:rPr>
                <w:color w:val="231F20"/>
                <w:spacing w:val="-10"/>
              </w:rPr>
              <w:t>224850.04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62"/>
              <w:spacing w:before="157" w:line="209" w:lineRule="auto"/>
              <w:rPr/>
            </w:pPr>
            <w:r>
              <w:rPr>
                <w:color w:val="231F20"/>
                <w:spacing w:val="-10"/>
              </w:rPr>
              <w:t>225480.77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262"/>
              <w:spacing w:before="157" w:line="209" w:lineRule="auto"/>
              <w:rPr/>
            </w:pPr>
            <w:r>
              <w:rPr>
                <w:color w:val="231F20"/>
                <w:spacing w:val="-10"/>
              </w:rPr>
              <w:t>227983.54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262"/>
              <w:spacing w:before="157" w:line="209" w:lineRule="auto"/>
              <w:rPr/>
            </w:pPr>
            <w:r>
              <w:rPr>
                <w:color w:val="231F20"/>
                <w:spacing w:val="-10"/>
              </w:rPr>
              <w:t>210586.20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599"/>
              <w:spacing w:before="161" w:line="178" w:lineRule="auto"/>
              <w:rPr/>
            </w:pPr>
            <w:r>
              <w:rPr>
                <w:color w:val="231F20"/>
                <w:spacing w:val="-1"/>
              </w:rPr>
              <w:t>其他金融性公司存款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996"/>
              <w:spacing w:before="247" w:line="152" w:lineRule="exact"/>
              <w:rPr/>
            </w:pPr>
            <w:r>
              <w:rPr>
                <w:color w:val="231F20"/>
                <w:spacing w:val="19"/>
                <w:position w:val="-8"/>
              </w:rPr>
              <w:t>—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835"/>
              <w:spacing w:before="247" w:line="152" w:lineRule="exact"/>
              <w:rPr/>
            </w:pPr>
            <w:r>
              <w:rPr>
                <w:color w:val="231F20"/>
                <w:spacing w:val="19"/>
                <w:position w:val="-8"/>
              </w:rPr>
              <w:t>—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836"/>
              <w:spacing w:before="247" w:line="152" w:lineRule="exact"/>
              <w:rPr/>
            </w:pPr>
            <w:r>
              <w:rPr>
                <w:color w:val="231F20"/>
                <w:spacing w:val="19"/>
                <w:position w:val="-8"/>
              </w:rPr>
              <w:t>—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836"/>
              <w:spacing w:before="247" w:line="152" w:lineRule="exact"/>
              <w:rPr/>
            </w:pPr>
            <w:r>
              <w:rPr>
                <w:color w:val="231F20"/>
                <w:spacing w:val="19"/>
                <w:position w:val="-8"/>
              </w:rPr>
              <w:t>—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420"/>
              <w:spacing w:before="161" w:line="178" w:lineRule="auto"/>
              <w:rPr/>
            </w:pPr>
            <w:r>
              <w:rPr>
                <w:color w:val="231F20"/>
                <w:spacing w:val="-1"/>
              </w:rPr>
              <w:t>非金融机构存款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12"/>
              <w:spacing w:before="159" w:line="208" w:lineRule="auto"/>
              <w:rPr/>
            </w:pPr>
            <w:r>
              <w:rPr>
                <w:color w:val="231F20"/>
                <w:spacing w:val="-10"/>
              </w:rPr>
              <w:t>23256.96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51"/>
              <w:spacing w:before="159" w:line="208" w:lineRule="auto"/>
              <w:rPr/>
            </w:pPr>
            <w:r>
              <w:rPr>
                <w:color w:val="231F20"/>
                <w:spacing w:val="-10"/>
              </w:rPr>
              <w:t>23297.64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51"/>
              <w:spacing w:before="159" w:line="208" w:lineRule="auto"/>
              <w:rPr/>
            </w:pPr>
            <w:r>
              <w:rPr>
                <w:color w:val="231F20"/>
                <w:spacing w:val="-10"/>
              </w:rPr>
              <w:t>24172.92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352"/>
              <w:spacing w:before="159" w:line="208" w:lineRule="auto"/>
              <w:rPr/>
            </w:pPr>
            <w:r>
              <w:rPr>
                <w:color w:val="231F20"/>
                <w:spacing w:val="-10"/>
              </w:rPr>
              <w:t>24151.59</w:t>
            </w:r>
          </w:p>
        </w:tc>
      </w:tr>
      <w:tr>
        <w:trPr>
          <w:trHeight w:val="471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40"/>
              <w:spacing w:before="163" w:line="178" w:lineRule="auto"/>
              <w:rPr/>
            </w:pPr>
            <w:r>
              <w:rPr>
                <w:color w:val="231F20"/>
                <w:spacing w:val="-1"/>
              </w:rPr>
              <w:t>不计入储备货币的金融性公司存款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02"/>
              <w:spacing w:before="160" w:line="208" w:lineRule="auto"/>
              <w:rPr/>
            </w:pPr>
            <w:r>
              <w:rPr>
                <w:color w:val="231F20"/>
                <w:spacing w:val="-10"/>
              </w:rPr>
              <w:t>5896.84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41"/>
              <w:spacing w:before="160" w:line="208" w:lineRule="auto"/>
              <w:rPr/>
            </w:pPr>
            <w:r>
              <w:rPr>
                <w:color w:val="231F20"/>
                <w:spacing w:val="-10"/>
              </w:rPr>
              <w:t>6701.58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41"/>
              <w:spacing w:before="160" w:line="208" w:lineRule="auto"/>
              <w:rPr/>
            </w:pPr>
            <w:r>
              <w:rPr>
                <w:color w:val="231F20"/>
                <w:spacing w:val="-10"/>
              </w:rPr>
              <w:t>6875.04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442"/>
              <w:spacing w:before="160" w:line="208" w:lineRule="auto"/>
              <w:rPr/>
            </w:pPr>
            <w:r>
              <w:rPr>
                <w:color w:val="231F20"/>
                <w:spacing w:val="-10"/>
              </w:rPr>
              <w:t>6112.51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41"/>
              <w:spacing w:before="164" w:line="177" w:lineRule="auto"/>
              <w:rPr/>
            </w:pPr>
            <w:r>
              <w:rPr>
                <w:color w:val="231F20"/>
                <w:spacing w:val="-1"/>
              </w:rPr>
              <w:t>发行债券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16"/>
              <w:spacing w:before="159" w:line="208" w:lineRule="auto"/>
              <w:rPr/>
            </w:pPr>
            <w:r>
              <w:rPr>
                <w:color w:val="231F20"/>
                <w:spacing w:val="-11"/>
              </w:rPr>
              <w:t>1350.00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5"/>
              <w:spacing w:before="159" w:line="208" w:lineRule="auto"/>
              <w:rPr/>
            </w:pPr>
            <w:r>
              <w:rPr>
                <w:color w:val="231F20"/>
                <w:spacing w:val="-11"/>
              </w:rPr>
              <w:t>1550.00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5"/>
              <w:spacing w:before="159" w:line="208" w:lineRule="auto"/>
              <w:rPr/>
            </w:pPr>
            <w:r>
              <w:rPr>
                <w:color w:val="231F20"/>
                <w:spacing w:val="-11"/>
              </w:rPr>
              <w:t>1547.50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456"/>
              <w:spacing w:before="159" w:line="208" w:lineRule="auto"/>
              <w:rPr/>
            </w:pPr>
            <w:r>
              <w:rPr>
                <w:color w:val="231F20"/>
                <w:spacing w:val="-11"/>
              </w:rPr>
              <w:t>1570.90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58"/>
              <w:spacing w:before="165" w:line="177" w:lineRule="auto"/>
              <w:rPr/>
            </w:pPr>
            <w:r>
              <w:rPr>
                <w:color w:val="231F20"/>
                <w:spacing w:val="-5"/>
              </w:rPr>
              <w:t>国外负债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04"/>
              <w:spacing w:before="161" w:line="207" w:lineRule="auto"/>
              <w:rPr/>
            </w:pPr>
            <w:r>
              <w:rPr>
                <w:color w:val="231F20"/>
                <w:spacing w:val="-10"/>
              </w:rPr>
              <w:t>3772.71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38"/>
              <w:spacing w:before="161" w:line="207" w:lineRule="auto"/>
              <w:rPr/>
            </w:pPr>
            <w:r>
              <w:rPr>
                <w:color w:val="231F20"/>
                <w:spacing w:val="-9"/>
              </w:rPr>
              <w:t>4347.01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5"/>
              <w:spacing w:before="161" w:line="207" w:lineRule="auto"/>
              <w:rPr/>
            </w:pPr>
            <w:r>
              <w:rPr>
                <w:color w:val="231F20"/>
                <w:spacing w:val="-11"/>
              </w:rPr>
              <w:t>1680.53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444"/>
              <w:spacing w:before="161" w:line="207" w:lineRule="auto"/>
              <w:rPr/>
            </w:pPr>
            <w:r>
              <w:rPr>
                <w:color w:val="231F20"/>
                <w:spacing w:val="-10"/>
              </w:rPr>
              <w:t>3106.89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40"/>
              <w:spacing w:before="165" w:line="177" w:lineRule="auto"/>
              <w:rPr/>
            </w:pPr>
            <w:r>
              <w:rPr>
                <w:color w:val="231F20"/>
                <w:spacing w:val="-1"/>
              </w:rPr>
              <w:t>政府存款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09"/>
              <w:spacing w:before="162" w:line="206" w:lineRule="auto"/>
              <w:rPr/>
            </w:pPr>
            <w:r>
              <w:rPr>
                <w:color w:val="231F20"/>
                <w:spacing w:val="-9"/>
              </w:rPr>
              <w:t>43559.77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48"/>
              <w:spacing w:before="162" w:line="206" w:lineRule="auto"/>
              <w:rPr/>
            </w:pPr>
            <w:r>
              <w:rPr>
                <w:color w:val="231F20"/>
                <w:spacing w:val="-9"/>
              </w:rPr>
              <w:t>41319.43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49"/>
              <w:spacing w:before="162" w:line="206" w:lineRule="auto"/>
              <w:rPr/>
            </w:pPr>
            <w:r>
              <w:rPr>
                <w:color w:val="231F20"/>
                <w:spacing w:val="-9"/>
              </w:rPr>
              <w:t>48070.71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349"/>
              <w:spacing w:before="162" w:line="206" w:lineRule="auto"/>
              <w:rPr/>
            </w:pPr>
            <w:r>
              <w:rPr>
                <w:color w:val="231F20"/>
                <w:spacing w:val="-9"/>
              </w:rPr>
              <w:t>44997.20</w:t>
            </w:r>
          </w:p>
        </w:tc>
      </w:tr>
      <w:tr>
        <w:trPr>
          <w:trHeight w:val="470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74"/>
              <w:spacing w:before="165" w:line="178" w:lineRule="auto"/>
              <w:rPr/>
            </w:pPr>
            <w:r>
              <w:rPr>
                <w:color w:val="231F20"/>
                <w:spacing w:val="-8"/>
              </w:rPr>
              <w:t>自有资金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690"/>
              <w:spacing w:before="162" w:line="206" w:lineRule="auto"/>
              <w:rPr/>
            </w:pPr>
            <w:r>
              <w:rPr>
                <w:color w:val="231F20"/>
                <w:spacing w:val="-9"/>
              </w:rPr>
              <w:t>219.75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30"/>
              <w:spacing w:before="162" w:line="206" w:lineRule="auto"/>
              <w:rPr/>
            </w:pPr>
            <w:r>
              <w:rPr>
                <w:color w:val="231F20"/>
                <w:spacing w:val="-9"/>
              </w:rPr>
              <w:t>219.75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30"/>
              <w:spacing w:before="162" w:line="206" w:lineRule="auto"/>
              <w:rPr/>
            </w:pPr>
            <w:r>
              <w:rPr>
                <w:color w:val="231F20"/>
                <w:spacing w:val="-9"/>
              </w:rPr>
              <w:t>219.75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530"/>
              <w:spacing w:before="162" w:line="206" w:lineRule="auto"/>
              <w:rPr/>
            </w:pPr>
            <w:r>
              <w:rPr>
                <w:color w:val="231F20"/>
                <w:spacing w:val="-9"/>
              </w:rPr>
              <w:t>219.75</w:t>
            </w:r>
          </w:p>
        </w:tc>
      </w:tr>
      <w:tr>
        <w:trPr>
          <w:trHeight w:val="471" w:hRule="atLeast"/>
        </w:trPr>
        <w:tc>
          <w:tcPr>
            <w:tcW w:w="3353" w:type="dxa"/>
            <w:vAlign w:val="top"/>
          </w:tcPr>
          <w:p>
            <w:pPr>
              <w:pStyle w:val="TableText"/>
              <w:ind w:left="239"/>
              <w:spacing w:before="167" w:line="178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470" w:type="dxa"/>
            <w:vAlign w:val="top"/>
          </w:tcPr>
          <w:p>
            <w:pPr>
              <w:pStyle w:val="TableText"/>
              <w:ind w:left="526"/>
              <w:spacing w:before="163" w:line="206" w:lineRule="auto"/>
              <w:rPr/>
            </w:pPr>
            <w:r>
              <w:rPr>
                <w:color w:val="231F20"/>
                <w:spacing w:val="-11"/>
              </w:rPr>
              <w:t>13111.66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66"/>
              <w:spacing w:before="163" w:line="206" w:lineRule="auto"/>
              <w:rPr/>
            </w:pPr>
            <w:r>
              <w:rPr>
                <w:color w:val="231F20"/>
                <w:spacing w:val="-11"/>
              </w:rPr>
              <w:t>11123.38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66"/>
              <w:spacing w:before="163" w:line="206" w:lineRule="auto"/>
              <w:rPr/>
            </w:pPr>
            <w:r>
              <w:rPr>
                <w:color w:val="231F20"/>
                <w:spacing w:val="-11"/>
              </w:rPr>
              <w:t>17527.04</w:t>
            </w:r>
          </w:p>
        </w:tc>
        <w:tc>
          <w:tcPr>
            <w:tcW w:w="1356" w:type="dxa"/>
            <w:vAlign w:val="top"/>
          </w:tcPr>
          <w:p>
            <w:pPr>
              <w:pStyle w:val="TableText"/>
              <w:ind w:left="367"/>
              <w:spacing w:before="163" w:line="206" w:lineRule="auto"/>
              <w:rPr/>
            </w:pPr>
            <w:r>
              <w:rPr>
                <w:color w:val="231F20"/>
                <w:spacing w:val="-11"/>
              </w:rPr>
              <w:t>16465.92</w:t>
            </w:r>
          </w:p>
        </w:tc>
      </w:tr>
      <w:tr>
        <w:trPr>
          <w:trHeight w:val="480" w:hRule="atLeast"/>
        </w:trPr>
        <w:tc>
          <w:tcPr>
            <w:tcW w:w="3353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7"/>
              <w:spacing w:before="168" w:line="177" w:lineRule="auto"/>
              <w:rPr/>
            </w:pPr>
            <w:r>
              <w:rPr>
                <w:color w:val="231F20"/>
                <w:spacing w:val="-3"/>
              </w:rPr>
              <w:t>总负债</w:t>
            </w:r>
          </w:p>
        </w:tc>
        <w:tc>
          <w:tcPr>
            <w:tcW w:w="1470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20"/>
              <w:spacing w:before="164" w:line="209" w:lineRule="auto"/>
              <w:rPr/>
            </w:pPr>
            <w:r>
              <w:rPr>
                <w:color w:val="231F20"/>
                <w:spacing w:val="-10"/>
              </w:rPr>
              <w:t>438860.69</w:t>
            </w:r>
          </w:p>
        </w:tc>
        <w:tc>
          <w:tcPr>
            <w:tcW w:w="130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59"/>
              <w:spacing w:before="164" w:line="209" w:lineRule="auto"/>
              <w:rPr/>
            </w:pPr>
            <w:r>
              <w:rPr>
                <w:color w:val="231F20"/>
                <w:spacing w:val="-10"/>
              </w:rPr>
              <w:t>436546.79</w:t>
            </w:r>
          </w:p>
        </w:tc>
        <w:tc>
          <w:tcPr>
            <w:tcW w:w="130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59"/>
              <w:spacing w:before="164" w:line="209" w:lineRule="auto"/>
              <w:rPr/>
            </w:pPr>
            <w:r>
              <w:rPr>
                <w:color w:val="231F20"/>
                <w:spacing w:val="-10"/>
              </w:rPr>
              <w:t>455050.63</w:t>
            </w:r>
          </w:p>
        </w:tc>
        <w:tc>
          <w:tcPr>
            <w:tcW w:w="135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60"/>
              <w:spacing w:before="164" w:line="209" w:lineRule="auto"/>
              <w:rPr/>
            </w:pPr>
            <w:r>
              <w:rPr>
                <w:color w:val="231F20"/>
                <w:spacing w:val="-10"/>
              </w:rPr>
              <w:t>440513.31</w:t>
            </w:r>
          </w:p>
        </w:tc>
      </w:tr>
    </w:tbl>
    <w:p>
      <w:pPr>
        <w:pStyle w:val="BodyText"/>
        <w:ind w:left="368"/>
        <w:spacing w:before="115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spacing w:line="198" w:lineRule="auto"/>
        <w:sectPr>
          <w:headerReference w:type="default" r:id="rId373"/>
          <w:pgSz w:w="11906" w:h="16158"/>
          <w:pgMar w:top="1383" w:right="1406" w:bottom="400" w:left="1700" w:header="1060" w:footer="0" w:gutter="0"/>
        </w:sectPr>
        <w:rPr>
          <w:sz w:val="18"/>
          <w:szCs w:val="18"/>
        </w:rPr>
      </w:pPr>
    </w:p>
    <w:p>
      <w:pPr>
        <w:pStyle w:val="BodyText"/>
        <w:spacing w:line="294" w:lineRule="auto"/>
        <w:rPr/>
      </w:pPr>
      <w:r/>
    </w:p>
    <w:p>
      <w:pPr>
        <w:pStyle w:val="BodyText"/>
        <w:ind w:left="429"/>
        <w:spacing w:before="102" w:line="196" w:lineRule="auto"/>
        <w:rPr/>
      </w:pPr>
      <w:r>
        <w:rPr>
          <w:color w:val="174B8B"/>
        </w:rPr>
        <w:t>附表 </w:t>
      </w:r>
      <w:r>
        <w:rPr>
          <w:rFonts w:ascii="Times New Roman" w:hAnsi="Times New Roman" w:eastAsia="Times New Roman" w:cs="Times New Roman"/>
          <w:b/>
          <w:bCs/>
          <w:color w:val="174B8B"/>
        </w:rPr>
        <w:t>9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       2024</w:t>
      </w:r>
      <w:r>
        <w:rPr>
          <w:color w:val="174B8B"/>
          <w:spacing w:val="-1"/>
        </w:rPr>
        <w:t>年其他存款性公司资产负债表</w:t>
      </w:r>
    </w:p>
    <w:p>
      <w:pPr>
        <w:pStyle w:val="BodyText"/>
        <w:ind w:left="3754"/>
        <w:spacing w:line="178" w:lineRule="auto"/>
        <w:rPr/>
      </w:pPr>
      <w:r>
        <w:rPr>
          <w:color w:val="231F20"/>
          <w:spacing w:val="3"/>
        </w:rPr>
        <w:t>（季末余额）</w:t>
      </w:r>
    </w:p>
    <w:p>
      <w:pPr>
        <w:pStyle w:val="BodyText"/>
        <w:ind w:left="7287"/>
        <w:spacing w:before="15" w:line="180" w:lineRule="auto"/>
        <w:rPr/>
      </w:pPr>
      <w:r>
        <w:rPr>
          <w:color w:val="231F20"/>
          <w:spacing w:val="-1"/>
        </w:rPr>
        <w:t>单位：亿元</w:t>
      </w:r>
    </w:p>
    <w:p>
      <w:pPr>
        <w:spacing w:line="58" w:lineRule="exact"/>
        <w:rPr/>
      </w:pPr>
      <w:r/>
    </w:p>
    <w:tbl>
      <w:tblPr>
        <w:tblStyle w:val="TableNormal"/>
        <w:tblW w:w="8775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96"/>
        <w:gridCol w:w="1696"/>
        <w:gridCol w:w="1304"/>
        <w:gridCol w:w="1304"/>
        <w:gridCol w:w="1275"/>
      </w:tblGrid>
      <w:tr>
        <w:trPr>
          <w:trHeight w:val="396" w:hRule="atLeast"/>
        </w:trPr>
        <w:tc>
          <w:tcPr>
            <w:tcW w:w="3196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423"/>
              <w:spacing w:before="110" w:line="172" w:lineRule="auto"/>
              <w:rPr/>
            </w:pPr>
            <w:r>
              <w:drawing>
                <wp:anchor distT="0" distB="0" distL="0" distR="0" simplePos="0" relativeHeight="252648448" behindDoc="1" locked="0" layoutInCell="1" allowOverlap="1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-6225</wp:posOffset>
                  </wp:positionV>
                  <wp:extent cx="5572556" cy="7170305"/>
                  <wp:effectExtent l="0" t="0" r="0" b="0"/>
                  <wp:wrapNone/>
                  <wp:docPr id="728" name="IM 7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8" name="IM 728"/>
                          <pic:cNvPicPr/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2556" cy="7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696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58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第一季度</w:t>
            </w:r>
          </w:p>
        </w:tc>
        <w:tc>
          <w:tcPr>
            <w:tcW w:w="130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6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第二季度</w:t>
            </w:r>
          </w:p>
        </w:tc>
        <w:tc>
          <w:tcPr>
            <w:tcW w:w="130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6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第三季度</w:t>
            </w:r>
          </w:p>
        </w:tc>
        <w:tc>
          <w:tcPr>
            <w:tcW w:w="127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5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第四季度</w:t>
            </w:r>
          </w:p>
        </w:tc>
      </w:tr>
      <w:tr>
        <w:trPr>
          <w:trHeight w:val="351" w:hRule="atLeast"/>
        </w:trPr>
        <w:tc>
          <w:tcPr>
            <w:tcW w:w="319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8"/>
              <w:spacing w:before="84" w:line="177" w:lineRule="auto"/>
              <w:rPr/>
            </w:pPr>
            <w:r>
              <w:rPr>
                <w:color w:val="231F20"/>
                <w:spacing w:val="-5"/>
              </w:rPr>
              <w:t>国外资产</w:t>
            </w:r>
          </w:p>
        </w:tc>
        <w:tc>
          <w:tcPr>
            <w:tcW w:w="169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803"/>
              <w:spacing w:before="81" w:line="180" w:lineRule="auto"/>
              <w:rPr/>
            </w:pPr>
            <w:r>
              <w:rPr>
                <w:color w:val="231F20"/>
                <w:spacing w:val="-10"/>
              </w:rPr>
              <w:t>79094.31</w:t>
            </w:r>
          </w:p>
        </w:tc>
        <w:tc>
          <w:tcPr>
            <w:tcW w:w="130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5"/>
              <w:spacing w:before="81" w:line="180" w:lineRule="auto"/>
              <w:rPr/>
            </w:pPr>
            <w:r>
              <w:rPr>
                <w:color w:val="231F20"/>
                <w:spacing w:val="-10"/>
              </w:rPr>
              <w:t>80676.76</w:t>
            </w:r>
          </w:p>
        </w:tc>
        <w:tc>
          <w:tcPr>
            <w:tcW w:w="130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5"/>
              <w:spacing w:before="81" w:line="180" w:lineRule="auto"/>
              <w:rPr/>
            </w:pPr>
            <w:r>
              <w:rPr>
                <w:color w:val="231F20"/>
                <w:spacing w:val="-10"/>
              </w:rPr>
              <w:t>81546.22</w:t>
            </w:r>
          </w:p>
        </w:tc>
        <w:tc>
          <w:tcPr>
            <w:tcW w:w="127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4"/>
              <w:spacing w:before="81" w:line="180" w:lineRule="auto"/>
              <w:rPr/>
            </w:pPr>
            <w:r>
              <w:rPr>
                <w:color w:val="231F20"/>
                <w:spacing w:val="-10"/>
              </w:rPr>
              <w:t>88076.21</w:t>
            </w:r>
          </w:p>
        </w:tc>
      </w:tr>
      <w:tr>
        <w:trPr>
          <w:trHeight w:val="363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8"/>
              <w:spacing w:before="95" w:line="178" w:lineRule="auto"/>
              <w:rPr/>
            </w:pPr>
            <w:r>
              <w:rPr>
                <w:color w:val="231F20"/>
                <w:spacing w:val="-1"/>
              </w:rPr>
              <w:t>储备资产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5"/>
              <w:spacing w:before="93" w:line="180" w:lineRule="auto"/>
              <w:rPr/>
            </w:pPr>
            <w:r>
              <w:rPr>
                <w:color w:val="231F20"/>
                <w:spacing w:val="-10"/>
              </w:rPr>
              <w:t>234348.73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3"/>
              <w:spacing w:before="93" w:line="180" w:lineRule="auto"/>
              <w:rPr/>
            </w:pPr>
            <w:r>
              <w:rPr>
                <w:color w:val="231F20"/>
                <w:spacing w:val="-10"/>
              </w:rPr>
              <w:t>234503.62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3"/>
              <w:spacing w:before="93" w:line="180" w:lineRule="auto"/>
              <w:rPr/>
            </w:pPr>
            <w:r>
              <w:rPr>
                <w:color w:val="231F20"/>
                <w:spacing w:val="-10"/>
              </w:rPr>
              <w:t>236645.41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3"/>
              <w:spacing w:before="93" w:line="180" w:lineRule="auto"/>
              <w:rPr/>
            </w:pPr>
            <w:r>
              <w:rPr>
                <w:color w:val="231F20"/>
                <w:spacing w:val="-10"/>
              </w:rPr>
              <w:t>218881.26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423"/>
              <w:spacing w:before="96" w:line="177" w:lineRule="auto"/>
              <w:rPr/>
            </w:pPr>
            <w:r>
              <w:rPr>
                <w:color w:val="231F20"/>
                <w:spacing w:val="-2"/>
              </w:rPr>
              <w:t>准备金存款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5"/>
              <w:spacing w:before="93" w:line="179" w:lineRule="auto"/>
              <w:rPr/>
            </w:pPr>
            <w:r>
              <w:rPr>
                <w:color w:val="231F20"/>
                <w:spacing w:val="-10"/>
              </w:rPr>
              <w:t>228716.28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3"/>
              <w:spacing w:before="93" w:line="179" w:lineRule="auto"/>
              <w:rPr/>
            </w:pPr>
            <w:r>
              <w:rPr>
                <w:color w:val="231F20"/>
                <w:spacing w:val="-10"/>
              </w:rPr>
              <w:t>229733.17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3"/>
              <w:spacing w:before="93" w:line="179" w:lineRule="auto"/>
              <w:rPr/>
            </w:pPr>
            <w:r>
              <w:rPr>
                <w:color w:val="231F20"/>
                <w:spacing w:val="-10"/>
              </w:rPr>
              <w:t>231501.79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3"/>
              <w:spacing w:before="93" w:line="179" w:lineRule="auto"/>
              <w:rPr/>
            </w:pPr>
            <w:r>
              <w:rPr>
                <w:color w:val="231F20"/>
                <w:spacing w:val="-10"/>
              </w:rPr>
              <w:t>213773.07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420"/>
              <w:spacing w:before="96" w:line="177" w:lineRule="auto"/>
              <w:rPr/>
            </w:pPr>
            <w:r>
              <w:rPr>
                <w:color w:val="231F20"/>
                <w:spacing w:val="-1"/>
              </w:rPr>
              <w:t>库存现金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895"/>
              <w:spacing w:before="93" w:line="179" w:lineRule="auto"/>
              <w:rPr/>
            </w:pPr>
            <w:r>
              <w:rPr>
                <w:color w:val="231F20"/>
                <w:spacing w:val="-10"/>
              </w:rPr>
              <w:t>5632.45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99"/>
              <w:spacing w:before="93" w:line="179" w:lineRule="auto"/>
              <w:rPr/>
            </w:pPr>
            <w:r>
              <w:rPr>
                <w:color w:val="231F20"/>
                <w:spacing w:val="-9"/>
              </w:rPr>
              <w:t>4770.45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502"/>
              <w:spacing w:before="93" w:line="179" w:lineRule="auto"/>
              <w:rPr/>
            </w:pPr>
            <w:r>
              <w:rPr>
                <w:color w:val="231F20"/>
                <w:spacing w:val="-10"/>
              </w:rPr>
              <w:t>5143.62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502"/>
              <w:spacing w:before="93" w:line="179" w:lineRule="auto"/>
              <w:rPr/>
            </w:pPr>
            <w:r>
              <w:rPr>
                <w:color w:val="231F20"/>
                <w:spacing w:val="-10"/>
              </w:rPr>
              <w:t>5108.18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99" w:line="175" w:lineRule="auto"/>
              <w:rPr/>
            </w:pPr>
            <w:r>
              <w:rPr>
                <w:color w:val="231F20"/>
                <w:spacing w:val="-1"/>
              </w:rPr>
              <w:t>对政府债权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6"/>
              <w:spacing w:before="95" w:line="178" w:lineRule="auto"/>
              <w:rPr/>
            </w:pPr>
            <w:r>
              <w:rPr>
                <w:color w:val="231F20"/>
                <w:spacing w:val="-10"/>
              </w:rPr>
              <w:t>569756.32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4"/>
              <w:spacing w:before="95" w:line="178" w:lineRule="auto"/>
              <w:rPr/>
            </w:pPr>
            <w:r>
              <w:rPr>
                <w:color w:val="231F20"/>
                <w:spacing w:val="-10"/>
              </w:rPr>
              <w:t>584501.58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4"/>
              <w:spacing w:before="95" w:line="178" w:lineRule="auto"/>
              <w:rPr/>
            </w:pPr>
            <w:r>
              <w:rPr>
                <w:color w:val="231F20"/>
                <w:spacing w:val="-10"/>
              </w:rPr>
              <w:t>608554.54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4"/>
              <w:spacing w:before="95" w:line="178" w:lineRule="auto"/>
              <w:rPr/>
            </w:pPr>
            <w:r>
              <w:rPr>
                <w:color w:val="231F20"/>
                <w:spacing w:val="-10"/>
              </w:rPr>
              <w:t>636224.24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99" w:line="175" w:lineRule="auto"/>
              <w:rPr/>
            </w:pPr>
            <w:r>
              <w:rPr>
                <w:color w:val="231F20"/>
                <w:spacing w:val="-1"/>
              </w:rPr>
              <w:t>对中央银行债权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983"/>
              <w:spacing w:before="95" w:line="178" w:lineRule="auto"/>
              <w:rPr/>
            </w:pPr>
            <w:r>
              <w:rPr>
                <w:color w:val="231F20"/>
                <w:spacing w:val="-9"/>
              </w:rPr>
              <w:t>266.79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591"/>
              <w:spacing w:before="95" w:line="178" w:lineRule="auto"/>
              <w:rPr/>
            </w:pPr>
            <w:r>
              <w:rPr>
                <w:color w:val="231F20"/>
                <w:spacing w:val="-9"/>
              </w:rPr>
              <w:t>299.45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591"/>
              <w:spacing w:before="95" w:line="178" w:lineRule="auto"/>
              <w:rPr/>
            </w:pPr>
            <w:r>
              <w:rPr>
                <w:color w:val="231F20"/>
                <w:spacing w:val="-9"/>
              </w:rPr>
              <w:t>266.20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594"/>
              <w:spacing w:before="95" w:line="178" w:lineRule="auto"/>
              <w:rPr/>
            </w:pPr>
            <w:r>
              <w:rPr>
                <w:color w:val="231F20"/>
                <w:spacing w:val="-10"/>
              </w:rPr>
              <w:t>341.50</w:t>
            </w:r>
          </w:p>
        </w:tc>
      </w:tr>
      <w:tr>
        <w:trPr>
          <w:trHeight w:val="363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100" w:line="175" w:lineRule="auto"/>
              <w:rPr/>
            </w:pPr>
            <w:r>
              <w:rPr>
                <w:color w:val="231F20"/>
                <w:spacing w:val="-1"/>
              </w:rPr>
              <w:t>对其他存款性公司债权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8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392023.67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6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388862.79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6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393841.68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0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404803.31</w:t>
            </w:r>
          </w:p>
        </w:tc>
      </w:tr>
      <w:tr>
        <w:trPr>
          <w:trHeight w:val="363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99" w:line="176" w:lineRule="auto"/>
              <w:rPr/>
            </w:pPr>
            <w:r>
              <w:rPr>
                <w:color w:val="231F20"/>
                <w:spacing w:val="-1"/>
              </w:rPr>
              <w:t>对其他金融性公司债权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5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289616.59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3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277617.50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3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284300.07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3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286358.29</w:t>
            </w:r>
          </w:p>
        </w:tc>
      </w:tr>
      <w:tr>
        <w:trPr>
          <w:trHeight w:val="361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99" w:line="174" w:lineRule="auto"/>
              <w:rPr/>
            </w:pPr>
            <w:r>
              <w:rPr>
                <w:color w:val="231F20"/>
                <w:spacing w:val="-1"/>
              </w:rPr>
              <w:t>对非金融性公司债权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641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1755793.14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49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1785255.32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49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1802781.56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248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1810479.08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100" w:line="174" w:lineRule="auto"/>
              <w:rPr/>
            </w:pPr>
            <w:r>
              <w:rPr>
                <w:color w:val="231F20"/>
                <w:spacing w:val="-1"/>
              </w:rPr>
              <w:t>对其他居民部门债权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4"/>
              <w:spacing w:before="98" w:line="176" w:lineRule="auto"/>
              <w:rPr/>
            </w:pPr>
            <w:r>
              <w:rPr>
                <w:color w:val="231F20"/>
                <w:spacing w:val="-10"/>
              </w:rPr>
              <w:t>796312.41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2"/>
              <w:spacing w:before="98" w:line="176" w:lineRule="auto"/>
              <w:rPr/>
            </w:pPr>
            <w:r>
              <w:rPr>
                <w:color w:val="231F20"/>
                <w:spacing w:val="-10"/>
              </w:rPr>
              <w:t>797286.61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5"/>
              <w:spacing w:before="98" w:line="176" w:lineRule="auto"/>
              <w:rPr/>
            </w:pPr>
            <w:r>
              <w:rPr>
                <w:color w:val="231F20"/>
                <w:spacing w:val="-10"/>
              </w:rPr>
              <w:t>801702.06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5"/>
              <w:spacing w:before="98" w:line="176" w:lineRule="auto"/>
              <w:rPr/>
            </w:pPr>
            <w:r>
              <w:rPr>
                <w:color w:val="231F20"/>
                <w:spacing w:val="-10"/>
              </w:rPr>
              <w:t>808982.44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102" w:line="173" w:lineRule="auto"/>
              <w:rPr/>
            </w:pPr>
            <w:r>
              <w:rPr>
                <w:color w:val="231F20"/>
                <w:spacing w:val="-1"/>
              </w:rPr>
              <w:t>其他资产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30"/>
              <w:spacing w:before="99" w:line="175" w:lineRule="auto"/>
              <w:rPr/>
            </w:pPr>
            <w:r>
              <w:rPr>
                <w:color w:val="231F20"/>
                <w:spacing w:val="-11"/>
              </w:rPr>
              <w:t>143479.44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38"/>
              <w:spacing w:before="99" w:line="175" w:lineRule="auto"/>
              <w:rPr/>
            </w:pPr>
            <w:r>
              <w:rPr>
                <w:color w:val="231F20"/>
                <w:spacing w:val="-11"/>
              </w:rPr>
              <w:t>141828.38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38"/>
              <w:spacing w:before="99" w:line="175" w:lineRule="auto"/>
              <w:rPr/>
            </w:pPr>
            <w:r>
              <w:rPr>
                <w:color w:val="231F20"/>
                <w:spacing w:val="-11"/>
              </w:rPr>
              <w:t>143345.56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38"/>
              <w:spacing w:before="99" w:line="175" w:lineRule="auto"/>
              <w:rPr/>
            </w:pPr>
            <w:r>
              <w:rPr>
                <w:color w:val="231F20"/>
                <w:spacing w:val="-11"/>
              </w:rPr>
              <w:t>138567.57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67"/>
              <w:spacing w:before="102" w:line="173" w:lineRule="auto"/>
              <w:rPr/>
            </w:pPr>
            <w:r>
              <w:rPr>
                <w:color w:val="231F20"/>
                <w:spacing w:val="-3"/>
              </w:rPr>
              <w:t>总资产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623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4260691.42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31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4290832.00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31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4352983.29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231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4392713.89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105" w:line="171" w:lineRule="auto"/>
              <w:rPr/>
            </w:pPr>
            <w:r>
              <w:rPr>
                <w:color w:val="231F20"/>
                <w:spacing w:val="-1"/>
              </w:rPr>
              <w:t>对非金融机构及住户负债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626"/>
              <w:spacing w:before="100" w:line="174" w:lineRule="auto"/>
              <w:rPr/>
            </w:pPr>
            <w:r>
              <w:rPr>
                <w:color w:val="231F20"/>
                <w:spacing w:val="-10"/>
              </w:rPr>
              <w:t>2660078.31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34"/>
              <w:spacing w:before="100" w:line="174" w:lineRule="auto"/>
              <w:rPr/>
            </w:pPr>
            <w:r>
              <w:rPr>
                <w:color w:val="231F20"/>
                <w:spacing w:val="-10"/>
              </w:rPr>
              <w:t>2653725.69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34"/>
              <w:spacing w:before="100" w:line="174" w:lineRule="auto"/>
              <w:rPr/>
            </w:pPr>
            <w:r>
              <w:rPr>
                <w:color w:val="231F20"/>
                <w:spacing w:val="-10"/>
              </w:rPr>
              <w:t>2668165.51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234"/>
              <w:spacing w:before="100" w:line="174" w:lineRule="auto"/>
              <w:rPr/>
            </w:pPr>
            <w:r>
              <w:rPr>
                <w:color w:val="231F20"/>
                <w:spacing w:val="-10"/>
              </w:rPr>
              <w:t>2711330.77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422"/>
              <w:spacing w:before="105" w:line="171" w:lineRule="auto"/>
              <w:rPr/>
            </w:pPr>
            <w:r>
              <w:rPr>
                <w:color w:val="231F20"/>
                <w:spacing w:val="-1"/>
              </w:rPr>
              <w:t>纳入广义货币的存款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626"/>
              <w:spacing w:before="100" w:line="174" w:lineRule="auto"/>
              <w:rPr/>
            </w:pPr>
            <w:r>
              <w:rPr>
                <w:color w:val="231F20"/>
                <w:spacing w:val="-10"/>
              </w:rPr>
              <w:t>2565391.12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34"/>
              <w:spacing w:before="100" w:line="174" w:lineRule="auto"/>
              <w:rPr/>
            </w:pPr>
            <w:r>
              <w:rPr>
                <w:color w:val="231F20"/>
                <w:spacing w:val="-10"/>
              </w:rPr>
              <w:t>2557771.55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34"/>
              <w:spacing w:before="100" w:line="174" w:lineRule="auto"/>
              <w:rPr/>
            </w:pPr>
            <w:r>
              <w:rPr>
                <w:color w:val="231F20"/>
                <w:spacing w:val="-10"/>
              </w:rPr>
              <w:t>2576499.58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234"/>
              <w:spacing w:before="100" w:line="174" w:lineRule="auto"/>
              <w:rPr/>
            </w:pPr>
            <w:r>
              <w:rPr>
                <w:color w:val="231F20"/>
                <w:spacing w:val="-10"/>
              </w:rPr>
              <w:t>2616523.70</w:t>
            </w:r>
          </w:p>
        </w:tc>
      </w:tr>
      <w:tr>
        <w:trPr>
          <w:trHeight w:val="363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599"/>
              <w:spacing w:before="104" w:line="172" w:lineRule="auto"/>
              <w:rPr/>
            </w:pPr>
            <w:r>
              <w:rPr>
                <w:color w:val="231F20"/>
                <w:spacing w:val="-1"/>
              </w:rPr>
              <w:t>单位活期存款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6"/>
              <w:spacing w:before="101" w:line="174" w:lineRule="auto"/>
              <w:rPr/>
            </w:pPr>
            <w:r>
              <w:rPr>
                <w:color w:val="231F20"/>
                <w:spacing w:val="-10"/>
              </w:rPr>
              <w:t>568598.40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4"/>
              <w:spacing w:before="101" w:line="174" w:lineRule="auto"/>
              <w:rPr/>
            </w:pPr>
            <w:r>
              <w:rPr>
                <w:color w:val="231F20"/>
                <w:spacing w:val="-10"/>
              </w:rPr>
              <w:t>542873.75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4"/>
              <w:spacing w:before="101" w:line="174" w:lineRule="auto"/>
              <w:rPr/>
            </w:pPr>
            <w:r>
              <w:rPr>
                <w:color w:val="231F20"/>
                <w:spacing w:val="-10"/>
              </w:rPr>
              <w:t>506406.54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4"/>
              <w:spacing w:before="101" w:line="174" w:lineRule="auto"/>
              <w:rPr/>
            </w:pPr>
            <w:r>
              <w:rPr>
                <w:color w:val="231F20"/>
                <w:spacing w:val="-10"/>
              </w:rPr>
              <w:t>542765.25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599"/>
              <w:spacing w:before="105" w:line="171" w:lineRule="auto"/>
              <w:rPr/>
            </w:pPr>
            <w:r>
              <w:rPr>
                <w:color w:val="231F20"/>
                <w:spacing w:val="-1"/>
              </w:rPr>
              <w:t>单位定期存款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6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532332.10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4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543438.99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4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572859.65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4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552512.79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598"/>
              <w:spacing w:before="106" w:line="170" w:lineRule="auto"/>
              <w:rPr/>
            </w:pPr>
            <w:r>
              <w:rPr>
                <w:color w:val="231F20"/>
                <w:spacing w:val="-1"/>
              </w:rPr>
              <w:t>个人存款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641"/>
              <w:spacing w:before="102" w:line="173" w:lineRule="auto"/>
              <w:rPr/>
            </w:pPr>
            <w:r>
              <w:rPr>
                <w:color w:val="231F20"/>
                <w:spacing w:val="-11"/>
              </w:rPr>
              <w:t>1464460.63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49"/>
              <w:spacing w:before="102" w:line="173" w:lineRule="auto"/>
              <w:rPr/>
            </w:pPr>
            <w:r>
              <w:rPr>
                <w:color w:val="231F20"/>
                <w:spacing w:val="-11"/>
              </w:rPr>
              <w:t>1471458.81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249"/>
              <w:spacing w:before="102" w:line="173" w:lineRule="auto"/>
              <w:rPr/>
            </w:pPr>
            <w:r>
              <w:rPr>
                <w:color w:val="231F20"/>
                <w:spacing w:val="-11"/>
              </w:rPr>
              <w:t>1497233.39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248"/>
              <w:spacing w:before="102" w:line="173" w:lineRule="auto"/>
              <w:rPr/>
            </w:pPr>
            <w:r>
              <w:rPr>
                <w:color w:val="231F20"/>
                <w:spacing w:val="-11"/>
              </w:rPr>
              <w:t>1521245.67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420"/>
              <w:spacing w:before="106" w:line="170" w:lineRule="auto"/>
              <w:rPr/>
            </w:pPr>
            <w:r>
              <w:rPr>
                <w:color w:val="231F20"/>
                <w:spacing w:val="-1"/>
              </w:rPr>
              <w:t>不纳入广义货币的存款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805"/>
              <w:spacing w:before="103" w:line="172" w:lineRule="auto"/>
              <w:rPr/>
            </w:pPr>
            <w:r>
              <w:rPr>
                <w:color w:val="231F20"/>
                <w:spacing w:val="-10"/>
              </w:rPr>
              <w:t>52542.14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3"/>
              <w:spacing w:before="103" w:line="172" w:lineRule="auto"/>
              <w:rPr/>
            </w:pPr>
            <w:r>
              <w:rPr>
                <w:color w:val="231F20"/>
                <w:spacing w:val="-10"/>
              </w:rPr>
              <w:t>52295.64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3"/>
              <w:spacing w:before="103" w:line="172" w:lineRule="auto"/>
              <w:rPr/>
            </w:pPr>
            <w:r>
              <w:rPr>
                <w:color w:val="231F20"/>
                <w:spacing w:val="-10"/>
              </w:rPr>
              <w:t>51575.93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413"/>
              <w:spacing w:before="103" w:line="172" w:lineRule="auto"/>
              <w:rPr/>
            </w:pPr>
            <w:r>
              <w:rPr>
                <w:color w:val="231F20"/>
                <w:spacing w:val="-10"/>
              </w:rPr>
              <w:t>52935.76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602"/>
              <w:spacing w:before="108" w:line="169" w:lineRule="auto"/>
              <w:rPr/>
            </w:pPr>
            <w:r>
              <w:rPr>
                <w:color w:val="231F20"/>
                <w:spacing w:val="-2"/>
              </w:rPr>
              <w:t>可转让存款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805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21590.41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3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21973.10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2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21303.03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412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23242.97</w:t>
            </w:r>
          </w:p>
        </w:tc>
      </w:tr>
      <w:tr>
        <w:trPr>
          <w:trHeight w:val="363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599"/>
              <w:spacing w:before="109" w:line="169" w:lineRule="auto"/>
              <w:rPr/>
            </w:pPr>
            <w:r>
              <w:rPr>
                <w:color w:val="231F20"/>
                <w:spacing w:val="-1"/>
              </w:rPr>
              <w:t>其他存款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808"/>
              <w:spacing w:before="104" w:line="172" w:lineRule="auto"/>
              <w:rPr/>
            </w:pPr>
            <w:r>
              <w:rPr>
                <w:color w:val="231F20"/>
                <w:spacing w:val="-10"/>
              </w:rPr>
              <w:t>30951.73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5"/>
              <w:spacing w:before="104" w:line="172" w:lineRule="auto"/>
              <w:rPr/>
            </w:pPr>
            <w:r>
              <w:rPr>
                <w:color w:val="231F20"/>
                <w:spacing w:val="-10"/>
              </w:rPr>
              <w:t>30322.55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5"/>
              <w:spacing w:before="104" w:line="172" w:lineRule="auto"/>
              <w:rPr/>
            </w:pPr>
            <w:r>
              <w:rPr>
                <w:color w:val="231F20"/>
                <w:spacing w:val="-10"/>
              </w:rPr>
              <w:t>30272.90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412"/>
              <w:spacing w:before="104" w:line="172" w:lineRule="auto"/>
              <w:rPr/>
            </w:pPr>
            <w:r>
              <w:rPr>
                <w:color w:val="231F20"/>
                <w:spacing w:val="-10"/>
              </w:rPr>
              <w:t>29692.80</w:t>
            </w:r>
          </w:p>
        </w:tc>
      </w:tr>
      <w:tr>
        <w:trPr>
          <w:trHeight w:val="363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419"/>
              <w:spacing w:before="109" w:line="169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802"/>
              <w:spacing w:before="104" w:line="172" w:lineRule="auto"/>
              <w:rPr/>
            </w:pPr>
            <w:r>
              <w:rPr>
                <w:color w:val="231F20"/>
                <w:spacing w:val="-9"/>
              </w:rPr>
              <w:t>42145.05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0"/>
              <w:spacing w:before="104" w:line="172" w:lineRule="auto"/>
              <w:rPr/>
            </w:pPr>
            <w:r>
              <w:rPr>
                <w:color w:val="231F20"/>
                <w:spacing w:val="-9"/>
              </w:rPr>
              <w:t>43658.50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0"/>
              <w:spacing w:before="104" w:line="172" w:lineRule="auto"/>
              <w:rPr/>
            </w:pPr>
            <w:r>
              <w:rPr>
                <w:color w:val="231F20"/>
                <w:spacing w:val="-9"/>
              </w:rPr>
              <w:t>40090.00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410"/>
              <w:spacing w:before="104" w:line="172" w:lineRule="auto"/>
              <w:rPr/>
            </w:pPr>
            <w:r>
              <w:rPr>
                <w:color w:val="231F20"/>
                <w:spacing w:val="-9"/>
              </w:rPr>
              <w:t>41871.31</w:t>
            </w:r>
          </w:p>
        </w:tc>
      </w:tr>
      <w:tr>
        <w:trPr>
          <w:trHeight w:val="361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108" w:line="168" w:lineRule="auto"/>
              <w:rPr/>
            </w:pPr>
            <w:r>
              <w:rPr>
                <w:color w:val="231F20"/>
                <w:spacing w:val="-1"/>
              </w:rPr>
              <w:t>对中央银行负债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30"/>
              <w:spacing w:before="105" w:line="170" w:lineRule="auto"/>
              <w:rPr/>
            </w:pPr>
            <w:r>
              <w:rPr>
                <w:color w:val="231F20"/>
                <w:spacing w:val="-11"/>
              </w:rPr>
              <w:t>162761.90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38"/>
              <w:spacing w:before="105" w:line="170" w:lineRule="auto"/>
              <w:rPr/>
            </w:pPr>
            <w:r>
              <w:rPr>
                <w:color w:val="231F20"/>
                <w:spacing w:val="-11"/>
              </w:rPr>
              <w:t>155277.03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38"/>
              <w:spacing w:before="105" w:line="170" w:lineRule="auto"/>
              <w:rPr/>
            </w:pPr>
            <w:r>
              <w:rPr>
                <w:color w:val="231F20"/>
                <w:spacing w:val="-11"/>
              </w:rPr>
              <w:t>159327.83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38"/>
              <w:spacing w:before="105" w:line="170" w:lineRule="auto"/>
              <w:rPr/>
            </w:pPr>
            <w:r>
              <w:rPr>
                <w:color w:val="231F20"/>
                <w:spacing w:val="-11"/>
              </w:rPr>
              <w:t>155487.88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109" w:line="168" w:lineRule="auto"/>
              <w:rPr/>
            </w:pPr>
            <w:r>
              <w:rPr>
                <w:color w:val="231F20"/>
                <w:spacing w:val="-1"/>
              </w:rPr>
              <w:t>对其他存款性公司负债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30"/>
              <w:spacing w:before="106" w:line="170" w:lineRule="auto"/>
              <w:rPr/>
            </w:pPr>
            <w:r>
              <w:rPr>
                <w:color w:val="231F20"/>
                <w:spacing w:val="-11"/>
              </w:rPr>
              <w:t>133133.81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38"/>
              <w:spacing w:before="106" w:line="170" w:lineRule="auto"/>
              <w:rPr/>
            </w:pPr>
            <w:r>
              <w:rPr>
                <w:color w:val="231F20"/>
                <w:spacing w:val="-11"/>
              </w:rPr>
              <w:t>127964.31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38"/>
              <w:spacing w:before="106" w:line="170" w:lineRule="auto"/>
              <w:rPr/>
            </w:pPr>
            <w:r>
              <w:rPr>
                <w:color w:val="231F20"/>
                <w:spacing w:val="-11"/>
              </w:rPr>
              <w:t>126110.66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38"/>
              <w:spacing w:before="106" w:line="170" w:lineRule="auto"/>
              <w:rPr/>
            </w:pPr>
            <w:r>
              <w:rPr>
                <w:color w:val="231F20"/>
                <w:spacing w:val="-11"/>
              </w:rPr>
              <w:t>135265.43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111" w:line="167" w:lineRule="auto"/>
              <w:rPr/>
            </w:pPr>
            <w:r>
              <w:rPr>
                <w:color w:val="231F20"/>
                <w:spacing w:val="-1"/>
              </w:rPr>
              <w:t>对其他金融性公司负债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8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312903.46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6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322530.95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6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347803.94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6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330550.60</w:t>
            </w:r>
          </w:p>
        </w:tc>
      </w:tr>
      <w:tr>
        <w:trPr>
          <w:trHeight w:val="363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419"/>
              <w:spacing w:before="112" w:line="167" w:lineRule="auto"/>
              <w:rPr/>
            </w:pPr>
            <w:r>
              <w:rPr>
                <w:color w:val="231F20"/>
                <w:spacing w:val="-1"/>
              </w:rPr>
              <w:t>其中：计入广义货币的存款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8"/>
              <w:spacing w:before="109" w:line="169" w:lineRule="auto"/>
              <w:rPr/>
            </w:pPr>
            <w:r>
              <w:rPr>
                <w:color w:val="231F20"/>
                <w:spacing w:val="-10"/>
              </w:rPr>
              <w:t>309449.68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6"/>
              <w:spacing w:before="109" w:line="169" w:lineRule="auto"/>
              <w:rPr/>
            </w:pPr>
            <w:r>
              <w:rPr>
                <w:color w:val="231F20"/>
                <w:spacing w:val="-10"/>
              </w:rPr>
              <w:t>318245.35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6"/>
              <w:spacing w:before="109" w:line="169" w:lineRule="auto"/>
              <w:rPr/>
            </w:pPr>
            <w:r>
              <w:rPr>
                <w:color w:val="231F20"/>
                <w:spacing w:val="-10"/>
              </w:rPr>
              <w:t>342996.06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6"/>
              <w:spacing w:before="109" w:line="169" w:lineRule="auto"/>
              <w:rPr/>
            </w:pPr>
            <w:r>
              <w:rPr>
                <w:color w:val="231F20"/>
                <w:spacing w:val="-10"/>
              </w:rPr>
              <w:t>324411.36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58"/>
              <w:spacing w:before="112" w:line="166" w:lineRule="auto"/>
              <w:rPr/>
            </w:pPr>
            <w:r>
              <w:rPr>
                <w:color w:val="231F20"/>
                <w:spacing w:val="-5"/>
              </w:rPr>
              <w:t>国外负债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819"/>
              <w:spacing w:before="108" w:line="169" w:lineRule="auto"/>
              <w:rPr/>
            </w:pPr>
            <w:r>
              <w:rPr>
                <w:color w:val="231F20"/>
                <w:spacing w:val="-11"/>
              </w:rPr>
              <w:t>16454.09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27"/>
              <w:spacing w:before="108" w:line="169" w:lineRule="auto"/>
              <w:rPr/>
            </w:pPr>
            <w:r>
              <w:rPr>
                <w:color w:val="231F20"/>
                <w:spacing w:val="-11"/>
              </w:rPr>
              <w:t>17056.66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27"/>
              <w:spacing w:before="108" w:line="169" w:lineRule="auto"/>
              <w:rPr/>
            </w:pPr>
            <w:r>
              <w:rPr>
                <w:color w:val="231F20"/>
                <w:spacing w:val="-11"/>
              </w:rPr>
              <w:t>15225.25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427"/>
              <w:spacing w:before="108" w:line="169" w:lineRule="auto"/>
              <w:rPr/>
            </w:pPr>
            <w:r>
              <w:rPr>
                <w:color w:val="231F20"/>
                <w:spacing w:val="-11"/>
              </w:rPr>
              <w:t>12097.04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40"/>
              <w:spacing w:before="113" w:line="165" w:lineRule="auto"/>
              <w:rPr/>
            </w:pPr>
            <w:r>
              <w:rPr>
                <w:color w:val="231F20"/>
                <w:spacing w:val="-1"/>
              </w:rPr>
              <w:t>债券发行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3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429527.72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1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454750.41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0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469767.84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0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481220.42</w:t>
            </w:r>
          </w:p>
        </w:tc>
      </w:tr>
      <w:tr>
        <w:trPr>
          <w:trHeight w:val="362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42"/>
              <w:spacing w:before="113" w:line="165" w:lineRule="auto"/>
              <w:rPr/>
            </w:pPr>
            <w:r>
              <w:rPr>
                <w:color w:val="231F20"/>
                <w:spacing w:val="-2"/>
              </w:rPr>
              <w:t>实收资本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805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57412.92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3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57775.72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413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57831.71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413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58101.81</w:t>
            </w:r>
          </w:p>
        </w:tc>
      </w:tr>
      <w:tr>
        <w:trPr>
          <w:trHeight w:val="363" w:hRule="atLeast"/>
        </w:trPr>
        <w:tc>
          <w:tcPr>
            <w:tcW w:w="3196" w:type="dxa"/>
            <w:vAlign w:val="top"/>
          </w:tcPr>
          <w:p>
            <w:pPr>
              <w:pStyle w:val="TableText"/>
              <w:ind w:left="239"/>
              <w:spacing w:before="113" w:line="166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96" w:type="dxa"/>
            <w:vAlign w:val="top"/>
          </w:tcPr>
          <w:p>
            <w:pPr>
              <w:pStyle w:val="TableText"/>
              <w:ind w:left="713"/>
              <w:spacing w:before="110" w:line="168" w:lineRule="auto"/>
              <w:rPr/>
            </w:pPr>
            <w:r>
              <w:rPr>
                <w:color w:val="231F20"/>
                <w:spacing w:val="-10"/>
              </w:rPr>
              <w:t>488419.20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4"/>
              <w:spacing w:before="110" w:line="168" w:lineRule="auto"/>
              <w:rPr/>
            </w:pPr>
            <w:r>
              <w:rPr>
                <w:color w:val="231F20"/>
                <w:spacing w:val="-10"/>
              </w:rPr>
              <w:t>501751.22</w:t>
            </w:r>
          </w:p>
        </w:tc>
        <w:tc>
          <w:tcPr>
            <w:tcW w:w="1304" w:type="dxa"/>
            <w:vAlign w:val="top"/>
          </w:tcPr>
          <w:p>
            <w:pPr>
              <w:pStyle w:val="TableText"/>
              <w:ind w:left="324"/>
              <w:spacing w:before="110" w:line="168" w:lineRule="auto"/>
              <w:rPr/>
            </w:pPr>
            <w:r>
              <w:rPr>
                <w:color w:val="231F20"/>
                <w:spacing w:val="-10"/>
              </w:rPr>
              <w:t>508750.55</w:t>
            </w:r>
          </w:p>
        </w:tc>
        <w:tc>
          <w:tcPr>
            <w:tcW w:w="1275" w:type="dxa"/>
            <w:vAlign w:val="top"/>
          </w:tcPr>
          <w:p>
            <w:pPr>
              <w:pStyle w:val="TableText"/>
              <w:ind w:left="324"/>
              <w:spacing w:before="110" w:line="168" w:lineRule="auto"/>
              <w:rPr/>
            </w:pPr>
            <w:r>
              <w:rPr>
                <w:color w:val="231F20"/>
                <w:spacing w:val="-10"/>
              </w:rPr>
              <w:t>508659.94</w:t>
            </w:r>
          </w:p>
        </w:tc>
      </w:tr>
      <w:tr>
        <w:trPr>
          <w:trHeight w:val="372" w:hRule="atLeast"/>
        </w:trPr>
        <w:tc>
          <w:tcPr>
            <w:tcW w:w="319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7"/>
              <w:spacing w:before="115" w:line="171" w:lineRule="auto"/>
              <w:rPr/>
            </w:pPr>
            <w:r>
              <w:rPr>
                <w:color w:val="231F20"/>
                <w:spacing w:val="-3"/>
              </w:rPr>
              <w:t>总负债</w:t>
            </w:r>
          </w:p>
        </w:tc>
        <w:tc>
          <w:tcPr>
            <w:tcW w:w="169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23"/>
              <w:spacing w:before="110" w:line="174" w:lineRule="auto"/>
              <w:rPr/>
            </w:pPr>
            <w:r>
              <w:rPr>
                <w:color w:val="231F20"/>
                <w:spacing w:val="-10"/>
              </w:rPr>
              <w:t>4260691.42</w:t>
            </w:r>
          </w:p>
        </w:tc>
        <w:tc>
          <w:tcPr>
            <w:tcW w:w="130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31"/>
              <w:spacing w:before="110" w:line="174" w:lineRule="auto"/>
              <w:rPr/>
            </w:pPr>
            <w:r>
              <w:rPr>
                <w:color w:val="231F20"/>
                <w:spacing w:val="-10"/>
              </w:rPr>
              <w:t>4290832.00</w:t>
            </w:r>
          </w:p>
        </w:tc>
        <w:tc>
          <w:tcPr>
            <w:tcW w:w="130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31"/>
              <w:spacing w:before="110" w:line="174" w:lineRule="auto"/>
              <w:rPr/>
            </w:pPr>
            <w:r>
              <w:rPr>
                <w:color w:val="231F20"/>
                <w:spacing w:val="-10"/>
              </w:rPr>
              <w:t>4352983.29</w:t>
            </w:r>
          </w:p>
        </w:tc>
        <w:tc>
          <w:tcPr>
            <w:tcW w:w="127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31"/>
              <w:spacing w:before="110" w:line="174" w:lineRule="auto"/>
              <w:rPr/>
            </w:pPr>
            <w:r>
              <w:rPr>
                <w:color w:val="231F20"/>
                <w:spacing w:val="-10"/>
              </w:rPr>
              <w:t>4392713.89</w:t>
            </w:r>
          </w:p>
        </w:tc>
      </w:tr>
    </w:tbl>
    <w:p>
      <w:pPr>
        <w:pStyle w:val="BodyText"/>
        <w:ind w:left="354"/>
        <w:spacing w:before="103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spacing w:line="198" w:lineRule="auto"/>
        <w:sectPr>
          <w:headerReference w:type="default" r:id="rId375"/>
          <w:pgSz w:w="11906" w:h="16158"/>
          <w:pgMar w:top="1367" w:right="1700" w:bottom="400" w:left="1417" w:header="1044" w:footer="0" w:gutter="0"/>
        </w:sectPr>
        <w:rPr>
          <w:sz w:val="18"/>
          <w:szCs w:val="18"/>
        </w:rPr>
      </w:pPr>
    </w:p>
    <w:p>
      <w:pPr>
        <w:pStyle w:val="BodyText"/>
        <w:spacing w:line="284" w:lineRule="auto"/>
        <w:rPr/>
      </w:pPr>
      <w:r/>
    </w:p>
    <w:p>
      <w:pPr>
        <w:pStyle w:val="BodyText"/>
        <w:ind w:left="439"/>
        <w:spacing w:before="102" w:line="196" w:lineRule="auto"/>
        <w:rPr/>
      </w:pPr>
      <w:r>
        <w:rPr>
          <w:color w:val="174B8B"/>
          <w:spacing w:val="-1"/>
        </w:rPr>
        <w:t>附表</w:t>
      </w:r>
      <w:r>
        <w:rPr>
          <w:color w:val="174B8B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10                                   2024</w:t>
      </w:r>
      <w:r>
        <w:rPr>
          <w:color w:val="174B8B"/>
          <w:spacing w:val="-1"/>
        </w:rPr>
        <w:t>年中资大型银行资产负债表</w:t>
      </w:r>
    </w:p>
    <w:p>
      <w:pPr>
        <w:pStyle w:val="BodyText"/>
        <w:ind w:left="3759"/>
        <w:spacing w:line="178" w:lineRule="auto"/>
        <w:rPr/>
      </w:pPr>
      <w:r>
        <w:rPr>
          <w:color w:val="231F20"/>
          <w:spacing w:val="3"/>
        </w:rPr>
        <w:t>（季末余额）</w:t>
      </w:r>
    </w:p>
    <w:p>
      <w:pPr>
        <w:pStyle w:val="BodyText"/>
        <w:ind w:left="7287"/>
        <w:spacing w:before="15" w:line="180" w:lineRule="auto"/>
        <w:rPr/>
      </w:pPr>
      <w:r>
        <w:rPr>
          <w:color w:val="231F20"/>
          <w:spacing w:val="-1"/>
        </w:rPr>
        <w:t>单位：亿元</w:t>
      </w:r>
    </w:p>
    <w:p>
      <w:pPr>
        <w:spacing w:line="58" w:lineRule="exact"/>
        <w:rPr/>
      </w:pPr>
      <w:r/>
    </w:p>
    <w:tbl>
      <w:tblPr>
        <w:tblStyle w:val="TableNormal"/>
        <w:tblW w:w="8789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32"/>
        <w:gridCol w:w="1640"/>
        <w:gridCol w:w="1324"/>
        <w:gridCol w:w="1324"/>
        <w:gridCol w:w="1369"/>
      </w:tblGrid>
      <w:tr>
        <w:trPr>
          <w:trHeight w:val="396" w:hRule="atLeast"/>
        </w:trPr>
        <w:tc>
          <w:tcPr>
            <w:tcW w:w="313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389"/>
              <w:spacing w:before="110" w:line="172" w:lineRule="auto"/>
              <w:rPr/>
            </w:pPr>
            <w:r>
              <w:drawing>
                <wp:anchor distT="0" distB="0" distL="0" distR="0" simplePos="0" relativeHeight="252658688" behindDoc="1" locked="0" layoutInCell="1" allowOverlap="1">
                  <wp:simplePos x="0" y="0"/>
                  <wp:positionH relativeFrom="column">
                    <wp:posOffset>-5</wp:posOffset>
                  </wp:positionH>
                  <wp:positionV relativeFrom="paragraph">
                    <wp:posOffset>-6225</wp:posOffset>
                  </wp:positionV>
                  <wp:extent cx="5581370" cy="7170305"/>
                  <wp:effectExtent l="0" t="0" r="0" b="0"/>
                  <wp:wrapNone/>
                  <wp:docPr id="730" name="IM 7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0" name="IM 730"/>
                          <pic:cNvPicPr/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81370" cy="7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640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83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第一季度</w:t>
            </w:r>
          </w:p>
        </w:tc>
        <w:tc>
          <w:tcPr>
            <w:tcW w:w="132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67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第二季度</w:t>
            </w:r>
          </w:p>
        </w:tc>
        <w:tc>
          <w:tcPr>
            <w:tcW w:w="132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67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第三季度</w:t>
            </w:r>
          </w:p>
        </w:tc>
        <w:tc>
          <w:tcPr>
            <w:tcW w:w="136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68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第四季度</w:t>
            </w:r>
          </w:p>
        </w:tc>
      </w:tr>
      <w:tr>
        <w:trPr>
          <w:trHeight w:val="351" w:hRule="atLeast"/>
        </w:trPr>
        <w:tc>
          <w:tcPr>
            <w:tcW w:w="313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8"/>
              <w:spacing w:before="84" w:line="177" w:lineRule="auto"/>
              <w:rPr/>
            </w:pPr>
            <w:r>
              <w:rPr>
                <w:color w:val="231F20"/>
                <w:spacing w:val="-5"/>
              </w:rPr>
              <w:t>国外资产</w:t>
            </w:r>
          </w:p>
        </w:tc>
        <w:tc>
          <w:tcPr>
            <w:tcW w:w="1640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33"/>
              <w:spacing w:before="81" w:line="180" w:lineRule="auto"/>
              <w:rPr/>
            </w:pPr>
            <w:r>
              <w:rPr>
                <w:color w:val="231F20"/>
                <w:spacing w:val="-9"/>
              </w:rPr>
              <w:t>40168.01</w:t>
            </w:r>
          </w:p>
        </w:tc>
        <w:tc>
          <w:tcPr>
            <w:tcW w:w="132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8"/>
              <w:spacing w:before="81" w:line="180" w:lineRule="auto"/>
              <w:rPr/>
            </w:pPr>
            <w:r>
              <w:rPr>
                <w:color w:val="231F20"/>
                <w:spacing w:val="-9"/>
              </w:rPr>
              <w:t>40408.95</w:t>
            </w:r>
          </w:p>
        </w:tc>
        <w:tc>
          <w:tcPr>
            <w:tcW w:w="132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8"/>
              <w:spacing w:before="81" w:line="180" w:lineRule="auto"/>
              <w:rPr/>
            </w:pPr>
            <w:r>
              <w:rPr>
                <w:color w:val="231F20"/>
                <w:spacing w:val="-9"/>
              </w:rPr>
              <w:t>41189.11</w:t>
            </w:r>
          </w:p>
        </w:tc>
        <w:tc>
          <w:tcPr>
            <w:tcW w:w="136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8"/>
              <w:spacing w:before="81" w:line="180" w:lineRule="auto"/>
              <w:rPr/>
            </w:pPr>
            <w:r>
              <w:rPr>
                <w:color w:val="231F20"/>
                <w:spacing w:val="-9"/>
              </w:rPr>
              <w:t>44402.45</w:t>
            </w:r>
          </w:p>
        </w:tc>
      </w:tr>
      <w:tr>
        <w:trPr>
          <w:trHeight w:val="363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8"/>
              <w:spacing w:before="95" w:line="178" w:lineRule="auto"/>
              <w:rPr/>
            </w:pPr>
            <w:r>
              <w:rPr>
                <w:color w:val="231F20"/>
                <w:spacing w:val="-1"/>
              </w:rPr>
              <w:t>储备资产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62"/>
              <w:spacing w:before="93" w:line="180" w:lineRule="auto"/>
              <w:rPr/>
            </w:pPr>
            <w:r>
              <w:rPr>
                <w:color w:val="231F20"/>
                <w:spacing w:val="-11"/>
              </w:rPr>
              <w:t>128625.86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93" w:line="180" w:lineRule="auto"/>
              <w:rPr/>
            </w:pPr>
            <w:r>
              <w:rPr>
                <w:color w:val="231F20"/>
                <w:spacing w:val="-11"/>
              </w:rPr>
              <w:t>126111.52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93" w:line="180" w:lineRule="auto"/>
              <w:rPr/>
            </w:pPr>
            <w:r>
              <w:rPr>
                <w:color w:val="231F20"/>
                <w:spacing w:val="-11"/>
              </w:rPr>
              <w:t>130025.09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47"/>
              <w:spacing w:before="93" w:line="180" w:lineRule="auto"/>
              <w:rPr/>
            </w:pPr>
            <w:r>
              <w:rPr>
                <w:color w:val="231F20"/>
                <w:spacing w:val="-11"/>
              </w:rPr>
              <w:t>107779.75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423"/>
              <w:spacing w:before="96" w:line="177" w:lineRule="auto"/>
              <w:rPr/>
            </w:pPr>
            <w:r>
              <w:rPr>
                <w:color w:val="231F20"/>
                <w:spacing w:val="-2"/>
              </w:rPr>
              <w:t>准备金存款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62"/>
              <w:spacing w:before="93" w:line="179" w:lineRule="auto"/>
              <w:rPr/>
            </w:pPr>
            <w:r>
              <w:rPr>
                <w:color w:val="231F20"/>
                <w:spacing w:val="-11"/>
              </w:rPr>
              <w:t>125919.27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93" w:line="179" w:lineRule="auto"/>
              <w:rPr/>
            </w:pPr>
            <w:r>
              <w:rPr>
                <w:color w:val="231F20"/>
                <w:spacing w:val="-11"/>
              </w:rPr>
              <w:t>123740.79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93" w:line="179" w:lineRule="auto"/>
              <w:rPr/>
            </w:pPr>
            <w:r>
              <w:rPr>
                <w:color w:val="231F20"/>
                <w:spacing w:val="-11"/>
              </w:rPr>
              <w:t>127536.97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47"/>
              <w:spacing w:before="93" w:line="179" w:lineRule="auto"/>
              <w:rPr/>
            </w:pPr>
            <w:r>
              <w:rPr>
                <w:color w:val="231F20"/>
                <w:spacing w:val="-11"/>
              </w:rPr>
              <w:t>105301.98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420"/>
              <w:spacing w:before="96" w:line="177" w:lineRule="auto"/>
              <w:rPr/>
            </w:pPr>
            <w:r>
              <w:rPr>
                <w:color w:val="231F20"/>
                <w:spacing w:val="-1"/>
              </w:rPr>
              <w:t>库存现金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825"/>
              <w:spacing w:before="93" w:line="179" w:lineRule="auto"/>
              <w:rPr/>
            </w:pPr>
            <w:r>
              <w:rPr>
                <w:color w:val="231F20"/>
                <w:spacing w:val="-9"/>
              </w:rPr>
              <w:t>2706.59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10"/>
              <w:spacing w:before="93" w:line="179" w:lineRule="auto"/>
              <w:rPr/>
            </w:pPr>
            <w:r>
              <w:rPr>
                <w:color w:val="231F20"/>
                <w:spacing w:val="-9"/>
              </w:rPr>
              <w:t>2370.74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10"/>
              <w:spacing w:before="93" w:line="179" w:lineRule="auto"/>
              <w:rPr/>
            </w:pPr>
            <w:r>
              <w:rPr>
                <w:color w:val="231F20"/>
                <w:spacing w:val="-9"/>
              </w:rPr>
              <w:t>2488.12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510"/>
              <w:spacing w:before="93" w:line="179" w:lineRule="auto"/>
              <w:rPr/>
            </w:pPr>
            <w:r>
              <w:rPr>
                <w:color w:val="231F20"/>
                <w:spacing w:val="-9"/>
              </w:rPr>
              <w:t>2477.77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99" w:line="175" w:lineRule="auto"/>
              <w:rPr/>
            </w:pPr>
            <w:r>
              <w:rPr>
                <w:color w:val="231F20"/>
                <w:spacing w:val="-1"/>
              </w:rPr>
              <w:t>对政府债权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50"/>
              <w:spacing w:before="95" w:line="178" w:lineRule="auto"/>
              <w:rPr/>
            </w:pPr>
            <w:r>
              <w:rPr>
                <w:color w:val="231F20"/>
                <w:spacing w:val="-10"/>
              </w:rPr>
              <w:t>320673.00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4"/>
              <w:spacing w:before="95" w:line="178" w:lineRule="auto"/>
              <w:rPr/>
            </w:pPr>
            <w:r>
              <w:rPr>
                <w:color w:val="231F20"/>
                <w:spacing w:val="-10"/>
              </w:rPr>
              <w:t>332979.95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4"/>
              <w:spacing w:before="95" w:line="178" w:lineRule="auto"/>
              <w:rPr/>
            </w:pPr>
            <w:r>
              <w:rPr>
                <w:color w:val="231F20"/>
                <w:spacing w:val="-10"/>
              </w:rPr>
              <w:t>349412.22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35"/>
              <w:spacing w:before="95" w:line="178" w:lineRule="auto"/>
              <w:rPr/>
            </w:pPr>
            <w:r>
              <w:rPr>
                <w:color w:val="231F20"/>
                <w:spacing w:val="-10"/>
              </w:rPr>
              <w:t>367803.05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99" w:line="175" w:lineRule="auto"/>
              <w:rPr/>
            </w:pPr>
            <w:r>
              <w:rPr>
                <w:color w:val="231F20"/>
                <w:spacing w:val="-1"/>
              </w:rPr>
              <w:t>对中央银行债权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929"/>
              <w:spacing w:before="95" w:line="178" w:lineRule="auto"/>
              <w:rPr/>
            </w:pPr>
            <w:r>
              <w:rPr>
                <w:color w:val="231F20"/>
                <w:spacing w:val="-11"/>
              </w:rPr>
              <w:t>107.04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614"/>
              <w:spacing w:before="95" w:line="178" w:lineRule="auto"/>
              <w:rPr/>
            </w:pPr>
            <w:r>
              <w:rPr>
                <w:color w:val="231F20"/>
                <w:spacing w:val="-11"/>
              </w:rPr>
              <w:t>147.11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614"/>
              <w:spacing w:before="95" w:line="178" w:lineRule="auto"/>
              <w:rPr/>
            </w:pPr>
            <w:r>
              <w:rPr>
                <w:color w:val="231F20"/>
                <w:spacing w:val="-11"/>
              </w:rPr>
              <w:t>134.90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614"/>
              <w:spacing w:before="95" w:line="178" w:lineRule="auto"/>
              <w:rPr/>
            </w:pPr>
            <w:r>
              <w:rPr>
                <w:color w:val="231F20"/>
                <w:spacing w:val="-11"/>
              </w:rPr>
              <w:t>154.51</w:t>
            </w:r>
          </w:p>
        </w:tc>
      </w:tr>
      <w:tr>
        <w:trPr>
          <w:trHeight w:val="363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100" w:line="175" w:lineRule="auto"/>
              <w:rPr/>
            </w:pPr>
            <w:r>
              <w:rPr>
                <w:color w:val="231F20"/>
                <w:spacing w:val="-1"/>
              </w:rPr>
              <w:t>对其他存款性公司债权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62"/>
              <w:spacing w:before="96" w:line="178" w:lineRule="auto"/>
              <w:rPr/>
            </w:pPr>
            <w:r>
              <w:rPr>
                <w:color w:val="231F20"/>
                <w:spacing w:val="-11"/>
              </w:rPr>
              <w:t>154206.84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96" w:line="178" w:lineRule="auto"/>
              <w:rPr/>
            </w:pPr>
            <w:r>
              <w:rPr>
                <w:color w:val="231F20"/>
                <w:spacing w:val="-11"/>
              </w:rPr>
              <w:t>142905.38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96" w:line="178" w:lineRule="auto"/>
              <w:rPr/>
            </w:pPr>
            <w:r>
              <w:rPr>
                <w:color w:val="231F20"/>
                <w:spacing w:val="-11"/>
              </w:rPr>
              <w:t>143549.78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47"/>
              <w:spacing w:before="96" w:line="178" w:lineRule="auto"/>
              <w:rPr/>
            </w:pPr>
            <w:r>
              <w:rPr>
                <w:color w:val="231F20"/>
                <w:spacing w:val="-11"/>
              </w:rPr>
              <w:t>142166.51</w:t>
            </w:r>
          </w:p>
        </w:tc>
      </w:tr>
      <w:tr>
        <w:trPr>
          <w:trHeight w:val="363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99" w:line="176" w:lineRule="auto"/>
              <w:rPr/>
            </w:pPr>
            <w:r>
              <w:rPr>
                <w:color w:val="231F20"/>
                <w:spacing w:val="-1"/>
              </w:rPr>
              <w:t>对其他金融性公司债权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738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83628.82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21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65609.01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19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71080.13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420"/>
              <w:spacing w:before="96" w:line="178" w:lineRule="auto"/>
              <w:rPr/>
            </w:pPr>
            <w:r>
              <w:rPr>
                <w:color w:val="231F20"/>
                <w:spacing w:val="-10"/>
              </w:rPr>
              <w:t>71159.28</w:t>
            </w:r>
          </w:p>
        </w:tc>
      </w:tr>
      <w:tr>
        <w:trPr>
          <w:trHeight w:val="361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99" w:line="174" w:lineRule="auto"/>
              <w:rPr/>
            </w:pPr>
            <w:r>
              <w:rPr>
                <w:color w:val="231F20"/>
                <w:spacing w:val="-1"/>
              </w:rPr>
              <w:t>对非金融性公司债权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49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869190.33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3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889060.87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4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899637.13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32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903157.61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100" w:line="174" w:lineRule="auto"/>
              <w:rPr/>
            </w:pPr>
            <w:r>
              <w:rPr>
                <w:color w:val="231F20"/>
                <w:spacing w:val="-1"/>
              </w:rPr>
              <w:t>对其他居民部门债权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50"/>
              <w:spacing w:before="98" w:line="176" w:lineRule="auto"/>
              <w:rPr/>
            </w:pPr>
            <w:r>
              <w:rPr>
                <w:color w:val="231F20"/>
                <w:spacing w:val="-10"/>
              </w:rPr>
              <w:t>392982.02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4"/>
              <w:spacing w:before="98" w:line="176" w:lineRule="auto"/>
              <w:rPr/>
            </w:pPr>
            <w:r>
              <w:rPr>
                <w:color w:val="231F20"/>
                <w:spacing w:val="-10"/>
              </w:rPr>
              <w:t>393694.65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4"/>
              <w:spacing w:before="98" w:line="176" w:lineRule="auto"/>
              <w:rPr/>
            </w:pPr>
            <w:r>
              <w:rPr>
                <w:color w:val="231F20"/>
                <w:spacing w:val="-10"/>
              </w:rPr>
              <w:t>395792.86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35"/>
              <w:spacing w:before="98" w:line="176" w:lineRule="auto"/>
              <w:rPr/>
            </w:pPr>
            <w:r>
              <w:rPr>
                <w:color w:val="231F20"/>
                <w:spacing w:val="-10"/>
              </w:rPr>
              <w:t>399843.64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102" w:line="173" w:lineRule="auto"/>
              <w:rPr/>
            </w:pPr>
            <w:r>
              <w:rPr>
                <w:color w:val="231F20"/>
                <w:spacing w:val="-1"/>
              </w:rPr>
              <w:t>其他资产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737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63093.06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21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61574.01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21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63265.84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422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60174.43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67"/>
              <w:spacing w:before="102" w:line="173" w:lineRule="auto"/>
              <w:rPr/>
            </w:pPr>
            <w:r>
              <w:rPr>
                <w:color w:val="231F20"/>
                <w:spacing w:val="-3"/>
              </w:rPr>
              <w:t>总资产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558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2052674.98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242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2052491.45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242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2094087.07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242"/>
              <w:spacing w:before="99" w:line="175" w:lineRule="auto"/>
              <w:rPr/>
            </w:pPr>
            <w:r>
              <w:rPr>
                <w:color w:val="231F20"/>
                <w:spacing w:val="-10"/>
              </w:rPr>
              <w:t>2096641.22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105" w:line="171" w:lineRule="auto"/>
              <w:rPr/>
            </w:pPr>
            <w:r>
              <w:rPr>
                <w:color w:val="231F20"/>
                <w:spacing w:val="-1"/>
              </w:rPr>
              <w:t>对非金融机构及住户负债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572"/>
              <w:spacing w:before="100" w:line="174" w:lineRule="auto"/>
              <w:rPr/>
            </w:pPr>
            <w:r>
              <w:rPr>
                <w:color w:val="231F20"/>
                <w:spacing w:val="-11"/>
              </w:rPr>
              <w:t>1333590.98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257"/>
              <w:spacing w:before="100" w:line="174" w:lineRule="auto"/>
              <w:rPr/>
            </w:pPr>
            <w:r>
              <w:rPr>
                <w:color w:val="231F20"/>
                <w:spacing w:val="-11"/>
              </w:rPr>
              <w:t>1301150.02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257"/>
              <w:spacing w:before="100" w:line="174" w:lineRule="auto"/>
              <w:rPr/>
            </w:pPr>
            <w:r>
              <w:rPr>
                <w:color w:val="231F20"/>
                <w:spacing w:val="-11"/>
              </w:rPr>
              <w:t>1304095.17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257"/>
              <w:spacing w:before="100" w:line="174" w:lineRule="auto"/>
              <w:rPr/>
            </w:pPr>
            <w:r>
              <w:rPr>
                <w:color w:val="231F20"/>
                <w:spacing w:val="-11"/>
              </w:rPr>
              <w:t>1314946.53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422"/>
              <w:spacing w:before="105" w:line="171" w:lineRule="auto"/>
              <w:rPr/>
            </w:pPr>
            <w:r>
              <w:rPr>
                <w:color w:val="231F20"/>
                <w:spacing w:val="-1"/>
              </w:rPr>
              <w:t>纳入广义货币的存款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572"/>
              <w:spacing w:before="100" w:line="174" w:lineRule="auto"/>
              <w:rPr/>
            </w:pPr>
            <w:r>
              <w:rPr>
                <w:color w:val="231F20"/>
                <w:spacing w:val="-11"/>
              </w:rPr>
              <w:t>1270396.73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257"/>
              <w:spacing w:before="100" w:line="174" w:lineRule="auto"/>
              <w:rPr/>
            </w:pPr>
            <w:r>
              <w:rPr>
                <w:color w:val="231F20"/>
                <w:spacing w:val="-11"/>
              </w:rPr>
              <w:t>1239324.47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257"/>
              <w:spacing w:before="100" w:line="174" w:lineRule="auto"/>
              <w:rPr/>
            </w:pPr>
            <w:r>
              <w:rPr>
                <w:color w:val="231F20"/>
                <w:spacing w:val="-11"/>
              </w:rPr>
              <w:t>1246261.02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257"/>
              <w:spacing w:before="100" w:line="174" w:lineRule="auto"/>
              <w:rPr/>
            </w:pPr>
            <w:r>
              <w:rPr>
                <w:color w:val="231F20"/>
                <w:spacing w:val="-11"/>
              </w:rPr>
              <w:t>1258679.86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599"/>
              <w:spacing w:before="105" w:line="171" w:lineRule="auto"/>
              <w:rPr/>
            </w:pPr>
            <w:r>
              <w:rPr>
                <w:color w:val="231F20"/>
                <w:spacing w:val="-1"/>
              </w:rPr>
              <w:t>单位活期存款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47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265603.02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1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246994.01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1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234783.24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32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246087.72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599"/>
              <w:spacing w:before="106" w:line="170" w:lineRule="auto"/>
              <w:rPr/>
            </w:pPr>
            <w:r>
              <w:rPr>
                <w:color w:val="231F20"/>
                <w:spacing w:val="-1"/>
              </w:rPr>
              <w:t>单位定期存款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47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233827.03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1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227080.60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1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230777.55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32"/>
              <w:spacing w:before="102" w:line="173" w:lineRule="auto"/>
              <w:rPr/>
            </w:pPr>
            <w:r>
              <w:rPr>
                <w:color w:val="231F20"/>
                <w:spacing w:val="-10"/>
              </w:rPr>
              <w:t>220168.59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598"/>
              <w:spacing w:before="106" w:line="170" w:lineRule="auto"/>
              <w:rPr/>
            </w:pPr>
            <w:r>
              <w:rPr>
                <w:color w:val="231F20"/>
                <w:spacing w:val="-1"/>
              </w:rPr>
              <w:t>个人存款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46"/>
              <w:spacing w:before="103" w:line="172" w:lineRule="auto"/>
              <w:rPr/>
            </w:pPr>
            <w:r>
              <w:rPr>
                <w:color w:val="231F20"/>
                <w:spacing w:val="-10"/>
              </w:rPr>
              <w:t>770966.69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0"/>
              <w:spacing w:before="103" w:line="172" w:lineRule="auto"/>
              <w:rPr/>
            </w:pPr>
            <w:r>
              <w:rPr>
                <w:color w:val="231F20"/>
                <w:spacing w:val="-10"/>
              </w:rPr>
              <w:t>765249.86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0"/>
              <w:spacing w:before="103" w:line="172" w:lineRule="auto"/>
              <w:rPr/>
            </w:pPr>
            <w:r>
              <w:rPr>
                <w:color w:val="231F20"/>
                <w:spacing w:val="-10"/>
              </w:rPr>
              <w:t>780700.23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31"/>
              <w:spacing w:before="103" w:line="172" w:lineRule="auto"/>
              <w:rPr/>
            </w:pPr>
            <w:r>
              <w:rPr>
                <w:color w:val="231F20"/>
                <w:spacing w:val="-10"/>
              </w:rPr>
              <w:t>792423.55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420"/>
              <w:spacing w:before="108" w:line="169" w:lineRule="auto"/>
              <w:rPr/>
            </w:pPr>
            <w:r>
              <w:rPr>
                <w:color w:val="231F20"/>
                <w:spacing w:val="-1"/>
              </w:rPr>
              <w:t>不纳入广义货币的存款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736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28856.20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20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26763.55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21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26433.81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421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26638.25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602"/>
              <w:spacing w:before="108" w:line="169" w:lineRule="auto"/>
              <w:rPr/>
            </w:pPr>
            <w:r>
              <w:rPr>
                <w:color w:val="231F20"/>
                <w:spacing w:val="-2"/>
              </w:rPr>
              <w:t>可转让存款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751"/>
              <w:spacing w:before="105" w:line="171" w:lineRule="auto"/>
              <w:rPr/>
            </w:pPr>
            <w:r>
              <w:rPr>
                <w:color w:val="231F20"/>
                <w:spacing w:val="-11"/>
              </w:rPr>
              <w:t>11838.54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35"/>
              <w:spacing w:before="105" w:line="171" w:lineRule="auto"/>
              <w:rPr/>
            </w:pPr>
            <w:r>
              <w:rPr>
                <w:color w:val="231F20"/>
                <w:spacing w:val="-11"/>
              </w:rPr>
              <w:t>11537.62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36"/>
              <w:spacing w:before="105" w:line="171" w:lineRule="auto"/>
              <w:rPr/>
            </w:pPr>
            <w:r>
              <w:rPr>
                <w:color w:val="231F20"/>
                <w:spacing w:val="-11"/>
              </w:rPr>
              <w:t>11677.77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436"/>
              <w:spacing w:before="105" w:line="171" w:lineRule="auto"/>
              <w:rPr/>
            </w:pPr>
            <w:r>
              <w:rPr>
                <w:color w:val="231F20"/>
                <w:spacing w:val="-11"/>
              </w:rPr>
              <w:t>12072.78</w:t>
            </w:r>
          </w:p>
        </w:tc>
      </w:tr>
      <w:tr>
        <w:trPr>
          <w:trHeight w:val="363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599"/>
              <w:spacing w:before="109" w:line="169" w:lineRule="auto"/>
              <w:rPr/>
            </w:pPr>
            <w:r>
              <w:rPr>
                <w:color w:val="231F20"/>
                <w:spacing w:val="-1"/>
              </w:rPr>
              <w:t>其他存款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751"/>
              <w:spacing w:before="106" w:line="171" w:lineRule="auto"/>
              <w:rPr/>
            </w:pPr>
            <w:r>
              <w:rPr>
                <w:color w:val="231F20"/>
                <w:spacing w:val="-11"/>
              </w:rPr>
              <w:t>17017.66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35"/>
              <w:spacing w:before="106" w:line="171" w:lineRule="auto"/>
              <w:rPr/>
            </w:pPr>
            <w:r>
              <w:rPr>
                <w:color w:val="231F20"/>
                <w:spacing w:val="-11"/>
              </w:rPr>
              <w:t>15225.93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36"/>
              <w:spacing w:before="106" w:line="171" w:lineRule="auto"/>
              <w:rPr/>
            </w:pPr>
            <w:r>
              <w:rPr>
                <w:color w:val="231F20"/>
                <w:spacing w:val="-11"/>
              </w:rPr>
              <w:t>14756.04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436"/>
              <w:spacing w:before="106" w:line="171" w:lineRule="auto"/>
              <w:rPr/>
            </w:pPr>
            <w:r>
              <w:rPr>
                <w:color w:val="231F20"/>
                <w:spacing w:val="-11"/>
              </w:rPr>
              <w:t>14565.48</w:t>
            </w:r>
          </w:p>
        </w:tc>
      </w:tr>
      <w:tr>
        <w:trPr>
          <w:trHeight w:val="363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419"/>
              <w:spacing w:before="109" w:line="169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739"/>
              <w:spacing w:before="106" w:line="171" w:lineRule="auto"/>
              <w:rPr/>
            </w:pPr>
            <w:r>
              <w:rPr>
                <w:color w:val="231F20"/>
                <w:spacing w:val="-10"/>
              </w:rPr>
              <w:t>34338.04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23"/>
              <w:spacing w:before="106" w:line="171" w:lineRule="auto"/>
              <w:rPr/>
            </w:pPr>
            <w:r>
              <w:rPr>
                <w:color w:val="231F20"/>
                <w:spacing w:val="-10"/>
              </w:rPr>
              <w:t>35062.00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24"/>
              <w:spacing w:before="106" w:line="171" w:lineRule="auto"/>
              <w:rPr/>
            </w:pPr>
            <w:r>
              <w:rPr>
                <w:color w:val="231F20"/>
                <w:spacing w:val="-10"/>
              </w:rPr>
              <w:t>31400.34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421"/>
              <w:spacing w:before="106" w:line="171" w:lineRule="auto"/>
              <w:rPr/>
            </w:pPr>
            <w:r>
              <w:rPr>
                <w:color w:val="231F20"/>
                <w:spacing w:val="-10"/>
              </w:rPr>
              <w:t>29628.42</w:t>
            </w:r>
          </w:p>
        </w:tc>
      </w:tr>
      <w:tr>
        <w:trPr>
          <w:trHeight w:val="361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110" w:line="167" w:lineRule="auto"/>
              <w:rPr/>
            </w:pPr>
            <w:r>
              <w:rPr>
                <w:color w:val="231F20"/>
                <w:spacing w:val="-1"/>
              </w:rPr>
              <w:t>对中央银行负债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735"/>
              <w:spacing w:before="105" w:line="170" w:lineRule="auto"/>
              <w:rPr/>
            </w:pPr>
            <w:r>
              <w:rPr>
                <w:color w:val="231F20"/>
                <w:spacing w:val="-10"/>
              </w:rPr>
              <w:t>79980.83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19"/>
              <w:spacing w:before="105" w:line="170" w:lineRule="auto"/>
              <w:rPr/>
            </w:pPr>
            <w:r>
              <w:rPr>
                <w:color w:val="231F20"/>
                <w:spacing w:val="-10"/>
              </w:rPr>
              <w:t>76515.44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19"/>
              <w:spacing w:before="105" w:line="170" w:lineRule="auto"/>
              <w:rPr/>
            </w:pPr>
            <w:r>
              <w:rPr>
                <w:color w:val="231F20"/>
                <w:spacing w:val="-10"/>
              </w:rPr>
              <w:t>76107.20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423"/>
              <w:spacing w:before="105" w:line="170" w:lineRule="auto"/>
              <w:rPr/>
            </w:pPr>
            <w:r>
              <w:rPr>
                <w:color w:val="231F20"/>
                <w:spacing w:val="-10"/>
              </w:rPr>
              <w:t>80654.98</w:t>
            </w:r>
          </w:p>
        </w:tc>
      </w:tr>
      <w:tr>
        <w:trPr>
          <w:trHeight w:val="363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110" w:line="168" w:lineRule="auto"/>
              <w:rPr/>
            </w:pPr>
            <w:r>
              <w:rPr>
                <w:color w:val="231F20"/>
                <w:spacing w:val="-1"/>
              </w:rPr>
              <w:t>对其他存款性公司负债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739"/>
              <w:spacing w:before="107" w:line="170" w:lineRule="auto"/>
              <w:rPr/>
            </w:pPr>
            <w:r>
              <w:rPr>
                <w:color w:val="231F20"/>
                <w:spacing w:val="-10"/>
              </w:rPr>
              <w:t>32157.39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23"/>
              <w:spacing w:before="107" w:line="170" w:lineRule="auto"/>
              <w:rPr/>
            </w:pPr>
            <w:r>
              <w:rPr>
                <w:color w:val="231F20"/>
                <w:spacing w:val="-10"/>
              </w:rPr>
              <w:t>34364.74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24"/>
              <w:spacing w:before="107" w:line="170" w:lineRule="auto"/>
              <w:rPr/>
            </w:pPr>
            <w:r>
              <w:rPr>
                <w:color w:val="231F20"/>
                <w:spacing w:val="-10"/>
              </w:rPr>
              <w:t>34065.48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418"/>
              <w:spacing w:before="107" w:line="170" w:lineRule="auto"/>
              <w:rPr/>
            </w:pPr>
            <w:r>
              <w:rPr>
                <w:color w:val="231F20"/>
                <w:spacing w:val="-9"/>
              </w:rPr>
              <w:t>46265.96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111" w:line="167" w:lineRule="auto"/>
              <w:rPr/>
            </w:pPr>
            <w:r>
              <w:rPr>
                <w:color w:val="231F20"/>
                <w:spacing w:val="-1"/>
              </w:rPr>
              <w:t>对其他金融性公司负债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62"/>
              <w:spacing w:before="108" w:line="169" w:lineRule="auto"/>
              <w:rPr/>
            </w:pPr>
            <w:r>
              <w:rPr>
                <w:color w:val="231F20"/>
                <w:spacing w:val="-11"/>
              </w:rPr>
              <w:t>154067.25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108" w:line="169" w:lineRule="auto"/>
              <w:rPr/>
            </w:pPr>
            <w:r>
              <w:rPr>
                <w:color w:val="231F20"/>
                <w:spacing w:val="-11"/>
              </w:rPr>
              <w:t>167862.53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108" w:line="169" w:lineRule="auto"/>
              <w:rPr/>
            </w:pPr>
            <w:r>
              <w:rPr>
                <w:color w:val="231F20"/>
                <w:spacing w:val="-11"/>
              </w:rPr>
              <w:t>192981.69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47"/>
              <w:spacing w:before="108" w:line="169" w:lineRule="auto"/>
              <w:rPr/>
            </w:pPr>
            <w:r>
              <w:rPr>
                <w:color w:val="231F20"/>
                <w:spacing w:val="-11"/>
              </w:rPr>
              <w:t>164886.66</w:t>
            </w:r>
          </w:p>
        </w:tc>
      </w:tr>
      <w:tr>
        <w:trPr>
          <w:trHeight w:val="363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419"/>
              <w:spacing w:before="112" w:line="167" w:lineRule="auto"/>
              <w:rPr/>
            </w:pPr>
            <w:r>
              <w:rPr>
                <w:color w:val="231F20"/>
                <w:spacing w:val="-1"/>
              </w:rPr>
              <w:t>其中：计入广义货币的存款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62"/>
              <w:spacing w:before="109" w:line="169" w:lineRule="auto"/>
              <w:rPr/>
            </w:pPr>
            <w:r>
              <w:rPr>
                <w:color w:val="231F20"/>
                <w:spacing w:val="-11"/>
              </w:rPr>
              <w:t>152365.50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109" w:line="169" w:lineRule="auto"/>
              <w:rPr/>
            </w:pPr>
            <w:r>
              <w:rPr>
                <w:color w:val="231F20"/>
                <w:spacing w:val="-11"/>
              </w:rPr>
              <w:t>166025.80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46"/>
              <w:spacing w:before="109" w:line="169" w:lineRule="auto"/>
              <w:rPr/>
            </w:pPr>
            <w:r>
              <w:rPr>
                <w:color w:val="231F20"/>
                <w:spacing w:val="-11"/>
              </w:rPr>
              <w:t>191149.67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47"/>
              <w:spacing w:before="109" w:line="169" w:lineRule="auto"/>
              <w:rPr/>
            </w:pPr>
            <w:r>
              <w:rPr>
                <w:color w:val="231F20"/>
                <w:spacing w:val="-11"/>
              </w:rPr>
              <w:t>162937.20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58"/>
              <w:spacing w:before="112" w:line="166" w:lineRule="auto"/>
              <w:rPr/>
            </w:pPr>
            <w:r>
              <w:rPr>
                <w:color w:val="231F20"/>
                <w:spacing w:val="-5"/>
              </w:rPr>
              <w:t>国外负债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828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8189.57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12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8408.38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511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6638.33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511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5099.50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40"/>
              <w:spacing w:before="113" w:line="165" w:lineRule="auto"/>
              <w:rPr/>
            </w:pPr>
            <w:r>
              <w:rPr>
                <w:color w:val="231F20"/>
                <w:spacing w:val="-1"/>
              </w:rPr>
              <w:t>债券发行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62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188701.17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1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202235.03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1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213809.96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32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216868.82</w:t>
            </w:r>
          </w:p>
        </w:tc>
      </w:tr>
      <w:tr>
        <w:trPr>
          <w:trHeight w:val="362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42"/>
              <w:spacing w:before="113" w:line="165" w:lineRule="auto"/>
              <w:rPr/>
            </w:pPr>
            <w:r>
              <w:rPr>
                <w:color w:val="231F20"/>
                <w:spacing w:val="-2"/>
              </w:rPr>
              <w:t>实收资本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751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18454.60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35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18454.60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436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18454.60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436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18454.60</w:t>
            </w:r>
          </w:p>
        </w:tc>
      </w:tr>
      <w:tr>
        <w:trPr>
          <w:trHeight w:val="363" w:hRule="atLeast"/>
        </w:trPr>
        <w:tc>
          <w:tcPr>
            <w:tcW w:w="3132" w:type="dxa"/>
            <w:vAlign w:val="top"/>
          </w:tcPr>
          <w:p>
            <w:pPr>
              <w:pStyle w:val="TableText"/>
              <w:ind w:left="239"/>
              <w:spacing w:before="113" w:line="166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40" w:type="dxa"/>
            <w:vAlign w:val="top"/>
          </w:tcPr>
          <w:p>
            <w:pPr>
              <w:pStyle w:val="TableText"/>
              <w:ind w:left="647"/>
              <w:spacing w:before="110" w:line="168" w:lineRule="auto"/>
              <w:rPr/>
            </w:pPr>
            <w:r>
              <w:rPr>
                <w:color w:val="231F20"/>
                <w:spacing w:val="-10"/>
              </w:rPr>
              <w:t>237533.19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1"/>
              <w:spacing w:before="110" w:line="168" w:lineRule="auto"/>
              <w:rPr/>
            </w:pPr>
            <w:r>
              <w:rPr>
                <w:color w:val="231F20"/>
                <w:spacing w:val="-10"/>
              </w:rPr>
              <w:t>243500.71</w:t>
            </w:r>
          </w:p>
        </w:tc>
        <w:tc>
          <w:tcPr>
            <w:tcW w:w="1324" w:type="dxa"/>
            <w:vAlign w:val="top"/>
          </w:tcPr>
          <w:p>
            <w:pPr>
              <w:pStyle w:val="TableText"/>
              <w:ind w:left="331"/>
              <w:spacing w:before="110" w:line="168" w:lineRule="auto"/>
              <w:rPr/>
            </w:pPr>
            <w:r>
              <w:rPr>
                <w:color w:val="231F20"/>
                <w:spacing w:val="-10"/>
              </w:rPr>
              <w:t>247934.64</w:t>
            </w:r>
          </w:p>
        </w:tc>
        <w:tc>
          <w:tcPr>
            <w:tcW w:w="1369" w:type="dxa"/>
            <w:vAlign w:val="top"/>
          </w:tcPr>
          <w:p>
            <w:pPr>
              <w:pStyle w:val="TableText"/>
              <w:ind w:left="332"/>
              <w:spacing w:before="110" w:line="168" w:lineRule="auto"/>
              <w:rPr/>
            </w:pPr>
            <w:r>
              <w:rPr>
                <w:color w:val="231F20"/>
                <w:spacing w:val="-10"/>
              </w:rPr>
              <w:t>249464.17</w:t>
            </w:r>
          </w:p>
        </w:tc>
      </w:tr>
      <w:tr>
        <w:trPr>
          <w:trHeight w:val="372" w:hRule="atLeast"/>
        </w:trPr>
        <w:tc>
          <w:tcPr>
            <w:tcW w:w="313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7"/>
              <w:spacing w:before="115" w:line="171" w:lineRule="auto"/>
              <w:rPr/>
            </w:pPr>
            <w:r>
              <w:rPr>
                <w:color w:val="231F20"/>
                <w:spacing w:val="-3"/>
              </w:rPr>
              <w:t>总负债</w:t>
            </w:r>
          </w:p>
        </w:tc>
        <w:tc>
          <w:tcPr>
            <w:tcW w:w="1640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58"/>
              <w:spacing w:before="110" w:line="174" w:lineRule="auto"/>
              <w:rPr/>
            </w:pPr>
            <w:r>
              <w:rPr>
                <w:color w:val="231F20"/>
                <w:spacing w:val="-10"/>
              </w:rPr>
              <w:t>2052674.98</w:t>
            </w:r>
          </w:p>
        </w:tc>
        <w:tc>
          <w:tcPr>
            <w:tcW w:w="132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42"/>
              <w:spacing w:before="110" w:line="174" w:lineRule="auto"/>
              <w:rPr/>
            </w:pPr>
            <w:r>
              <w:rPr>
                <w:color w:val="231F20"/>
                <w:spacing w:val="-10"/>
              </w:rPr>
              <w:t>2052491.45</w:t>
            </w:r>
          </w:p>
        </w:tc>
        <w:tc>
          <w:tcPr>
            <w:tcW w:w="132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42"/>
              <w:spacing w:before="110" w:line="174" w:lineRule="auto"/>
              <w:rPr/>
            </w:pPr>
            <w:r>
              <w:rPr>
                <w:color w:val="231F20"/>
                <w:spacing w:val="-10"/>
              </w:rPr>
              <w:t>2094087.07</w:t>
            </w:r>
          </w:p>
        </w:tc>
        <w:tc>
          <w:tcPr>
            <w:tcW w:w="136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42"/>
              <w:spacing w:before="110" w:line="174" w:lineRule="auto"/>
              <w:rPr/>
            </w:pPr>
            <w:r>
              <w:rPr>
                <w:color w:val="231F20"/>
                <w:spacing w:val="-10"/>
              </w:rPr>
              <w:t>2096641.22</w:t>
            </w:r>
          </w:p>
        </w:tc>
      </w:tr>
    </w:tbl>
    <w:p>
      <w:pPr>
        <w:pStyle w:val="BodyText"/>
        <w:ind w:left="363"/>
        <w:spacing w:before="103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spacing w:line="198" w:lineRule="auto"/>
        <w:sectPr>
          <w:headerReference w:type="default" r:id="rId377"/>
          <w:pgSz w:w="11906" w:h="16158"/>
          <w:pgMar w:top="1383" w:right="1415" w:bottom="400" w:left="1700" w:header="1060" w:footer="0" w:gutter="0"/>
        </w:sectPr>
        <w:rPr>
          <w:sz w:val="18"/>
          <w:szCs w:val="18"/>
        </w:rPr>
      </w:pPr>
    </w:p>
    <w:p>
      <w:pPr>
        <w:pStyle w:val="BodyText"/>
        <w:spacing w:line="294" w:lineRule="auto"/>
        <w:rPr/>
      </w:pPr>
      <w:r/>
    </w:p>
    <w:p>
      <w:pPr>
        <w:pStyle w:val="BodyText"/>
        <w:ind w:left="429"/>
        <w:spacing w:before="102" w:line="196" w:lineRule="auto"/>
        <w:rPr/>
      </w:pPr>
      <w:r>
        <w:rPr>
          <w:color w:val="174B8B"/>
          <w:spacing w:val="-1"/>
        </w:rPr>
        <w:t>附表</w:t>
      </w:r>
      <w:r>
        <w:rPr>
          <w:color w:val="174B8B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11                                   2024</w:t>
      </w:r>
      <w:r>
        <w:rPr>
          <w:color w:val="174B8B"/>
          <w:spacing w:val="-1"/>
        </w:rPr>
        <w:t>年中资中型银行资产负债表</w:t>
      </w:r>
    </w:p>
    <w:p>
      <w:pPr>
        <w:pStyle w:val="BodyText"/>
        <w:ind w:left="3754"/>
        <w:spacing w:line="178" w:lineRule="auto"/>
        <w:rPr/>
      </w:pPr>
      <w:r>
        <w:rPr>
          <w:color w:val="231F20"/>
          <w:spacing w:val="3"/>
        </w:rPr>
        <w:t>（季末余额）</w:t>
      </w:r>
    </w:p>
    <w:p>
      <w:pPr>
        <w:pStyle w:val="BodyText"/>
        <w:ind w:left="7287"/>
        <w:spacing w:before="15" w:line="180" w:lineRule="auto"/>
        <w:rPr/>
      </w:pPr>
      <w:r>
        <w:rPr>
          <w:color w:val="231F20"/>
          <w:spacing w:val="-1"/>
        </w:rPr>
        <w:t>单位：亿元</w:t>
      </w:r>
    </w:p>
    <w:p>
      <w:pPr>
        <w:spacing w:line="58" w:lineRule="exact"/>
        <w:rPr/>
      </w:pPr>
      <w:r/>
    </w:p>
    <w:tbl>
      <w:tblPr>
        <w:tblStyle w:val="TableNormal"/>
        <w:tblW w:w="8770" w:type="dxa"/>
        <w:tblInd w:w="5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49"/>
        <w:gridCol w:w="1620"/>
        <w:gridCol w:w="1335"/>
        <w:gridCol w:w="1335"/>
        <w:gridCol w:w="1331"/>
      </w:tblGrid>
      <w:tr>
        <w:trPr>
          <w:trHeight w:val="396" w:hRule="atLeast"/>
        </w:trPr>
        <w:tc>
          <w:tcPr>
            <w:tcW w:w="314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358"/>
              <w:spacing w:before="110" w:line="172" w:lineRule="auto"/>
              <w:rPr/>
            </w:pPr>
            <w:r>
              <w:drawing>
                <wp:anchor distT="0" distB="0" distL="0" distR="0" simplePos="0" relativeHeight="252668928" behindDoc="1" locked="0" layoutInCell="1" allowOverlap="1">
                  <wp:simplePos x="0" y="0"/>
                  <wp:positionH relativeFrom="column">
                    <wp:posOffset>5</wp:posOffset>
                  </wp:positionH>
                  <wp:positionV relativeFrom="paragraph">
                    <wp:posOffset>-6225</wp:posOffset>
                  </wp:positionV>
                  <wp:extent cx="5569229" cy="7149604"/>
                  <wp:effectExtent l="0" t="0" r="0" b="0"/>
                  <wp:wrapNone/>
                  <wp:docPr id="734" name="IM 7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4" name="IM 734"/>
                          <pic:cNvPicPr/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69229" cy="714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620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590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第一季度</w:t>
            </w:r>
          </w:p>
        </w:tc>
        <w:tc>
          <w:tcPr>
            <w:tcW w:w="133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05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第二季度</w:t>
            </w:r>
          </w:p>
        </w:tc>
        <w:tc>
          <w:tcPr>
            <w:tcW w:w="133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05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第三季度</w:t>
            </w:r>
          </w:p>
        </w:tc>
        <w:tc>
          <w:tcPr>
            <w:tcW w:w="133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06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第四季度</w:t>
            </w:r>
          </w:p>
        </w:tc>
      </w:tr>
      <w:tr>
        <w:trPr>
          <w:trHeight w:val="350" w:hRule="atLeast"/>
        </w:trPr>
        <w:tc>
          <w:tcPr>
            <w:tcW w:w="314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8"/>
              <w:spacing w:before="84" w:line="177" w:lineRule="auto"/>
              <w:rPr/>
            </w:pPr>
            <w:r>
              <w:rPr>
                <w:color w:val="231F20"/>
                <w:spacing w:val="-5"/>
              </w:rPr>
              <w:t>国外资产</w:t>
            </w:r>
          </w:p>
        </w:tc>
        <w:tc>
          <w:tcPr>
            <w:tcW w:w="1620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670"/>
              <w:spacing w:before="81" w:line="179" w:lineRule="auto"/>
              <w:rPr/>
            </w:pPr>
            <w:r>
              <w:rPr>
                <w:color w:val="231F20"/>
                <w:spacing w:val="-10"/>
              </w:rPr>
              <w:t>31159.40</w:t>
            </w:r>
          </w:p>
        </w:tc>
        <w:tc>
          <w:tcPr>
            <w:tcW w:w="133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86"/>
              <w:spacing w:before="81" w:line="179" w:lineRule="auto"/>
              <w:rPr/>
            </w:pPr>
            <w:r>
              <w:rPr>
                <w:color w:val="231F20"/>
                <w:spacing w:val="-10"/>
              </w:rPr>
              <w:t>32298.96</w:t>
            </w:r>
          </w:p>
        </w:tc>
        <w:tc>
          <w:tcPr>
            <w:tcW w:w="133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86"/>
              <w:spacing w:before="81" w:line="179" w:lineRule="auto"/>
              <w:rPr/>
            </w:pPr>
            <w:r>
              <w:rPr>
                <w:color w:val="231F20"/>
                <w:spacing w:val="-10"/>
              </w:rPr>
              <w:t>32116.07</w:t>
            </w:r>
          </w:p>
        </w:tc>
        <w:tc>
          <w:tcPr>
            <w:tcW w:w="133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86"/>
              <w:spacing w:before="81" w:line="179" w:lineRule="auto"/>
              <w:rPr/>
            </w:pPr>
            <w:r>
              <w:rPr>
                <w:color w:val="231F20"/>
                <w:spacing w:val="-10"/>
              </w:rPr>
              <w:t>34695.33</w:t>
            </w:r>
          </w:p>
        </w:tc>
      </w:tr>
      <w:tr>
        <w:trPr>
          <w:trHeight w:val="362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8"/>
              <w:spacing w:before="96" w:line="177" w:lineRule="auto"/>
              <w:rPr/>
            </w:pPr>
            <w:r>
              <w:rPr>
                <w:color w:val="231F20"/>
                <w:spacing w:val="-1"/>
              </w:rPr>
              <w:t>储备资产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670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35281.90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6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35002.11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6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33642.36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86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32773.79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423"/>
              <w:spacing w:before="95" w:line="177" w:lineRule="auto"/>
              <w:rPr/>
            </w:pPr>
            <w:r>
              <w:rPr>
                <w:color w:val="231F20"/>
                <w:spacing w:val="-2"/>
              </w:rPr>
              <w:t>准备金存款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670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34765.88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6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34542.47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6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33168.08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86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32282.54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420"/>
              <w:spacing w:before="97" w:line="176" w:lineRule="auto"/>
              <w:rPr/>
            </w:pPr>
            <w:r>
              <w:rPr>
                <w:color w:val="231F20"/>
                <w:spacing w:val="-1"/>
              </w:rPr>
              <w:t>库存现金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847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516.02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559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459.64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559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474.28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59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491.26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对政府债权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93"/>
              <w:spacing w:before="94" w:line="178" w:lineRule="auto"/>
              <w:rPr/>
            </w:pPr>
            <w:r>
              <w:rPr>
                <w:color w:val="231F20"/>
                <w:spacing w:val="-11"/>
              </w:rPr>
              <w:t>107657.12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94" w:line="178" w:lineRule="auto"/>
              <w:rPr/>
            </w:pPr>
            <w:r>
              <w:rPr>
                <w:color w:val="231F20"/>
                <w:spacing w:val="-11"/>
              </w:rPr>
              <w:t>107812.95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94" w:line="178" w:lineRule="auto"/>
              <w:rPr/>
            </w:pPr>
            <w:r>
              <w:rPr>
                <w:color w:val="231F20"/>
                <w:spacing w:val="-11"/>
              </w:rPr>
              <w:t>109753.35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08"/>
              <w:spacing w:before="94" w:line="178" w:lineRule="auto"/>
              <w:rPr/>
            </w:pPr>
            <w:r>
              <w:rPr>
                <w:color w:val="231F20"/>
                <w:spacing w:val="-11"/>
              </w:rPr>
              <w:t>112318.80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对中央银行债权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938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83.16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651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67.61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648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45.01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652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60.01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对其他存款性公司债权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665"/>
              <w:spacing w:before="95" w:line="177" w:lineRule="auto"/>
              <w:rPr/>
            </w:pPr>
            <w:r>
              <w:rPr>
                <w:color w:val="231F20"/>
                <w:spacing w:val="-9"/>
              </w:rPr>
              <w:t>44431.63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0"/>
              <w:spacing w:before="95" w:line="177" w:lineRule="auto"/>
              <w:rPr/>
            </w:pPr>
            <w:r>
              <w:rPr>
                <w:color w:val="231F20"/>
                <w:spacing w:val="-9"/>
              </w:rPr>
              <w:t>48672.16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4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50780.25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84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56383.33</w:t>
            </w:r>
          </w:p>
        </w:tc>
      </w:tr>
      <w:tr>
        <w:trPr>
          <w:trHeight w:val="362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99" w:line="175" w:lineRule="auto"/>
              <w:rPr/>
            </w:pPr>
            <w:r>
              <w:rPr>
                <w:color w:val="231F20"/>
                <w:spacing w:val="-1"/>
              </w:rPr>
              <w:t>对其他金融性公司债权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93"/>
              <w:spacing w:before="96" w:line="177" w:lineRule="auto"/>
              <w:rPr/>
            </w:pPr>
            <w:r>
              <w:rPr>
                <w:color w:val="231F20"/>
                <w:spacing w:val="-11"/>
              </w:rPr>
              <w:t>101068.04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96" w:line="177" w:lineRule="auto"/>
              <w:rPr/>
            </w:pPr>
            <w:r>
              <w:rPr>
                <w:color w:val="231F20"/>
                <w:spacing w:val="-11"/>
              </w:rPr>
              <w:t>102553.22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96" w:line="177" w:lineRule="auto"/>
              <w:rPr/>
            </w:pPr>
            <w:r>
              <w:rPr>
                <w:color w:val="231F20"/>
                <w:spacing w:val="-11"/>
              </w:rPr>
              <w:t>103463.43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08"/>
              <w:spacing w:before="96" w:line="177" w:lineRule="auto"/>
              <w:rPr/>
            </w:pPr>
            <w:r>
              <w:rPr>
                <w:color w:val="231F20"/>
                <w:spacing w:val="-11"/>
              </w:rPr>
              <w:t>106430.89</w:t>
            </w:r>
          </w:p>
        </w:tc>
      </w:tr>
      <w:tr>
        <w:trPr>
          <w:trHeight w:val="360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100" w:line="173" w:lineRule="auto"/>
              <w:rPr/>
            </w:pPr>
            <w:r>
              <w:rPr>
                <w:color w:val="231F20"/>
                <w:spacing w:val="-1"/>
              </w:rPr>
              <w:t>对非金融性公司债权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76"/>
              <w:spacing w:before="96" w:line="176" w:lineRule="auto"/>
              <w:rPr/>
            </w:pPr>
            <w:r>
              <w:rPr>
                <w:color w:val="231F20"/>
                <w:spacing w:val="-10"/>
              </w:rPr>
              <w:t>411660.57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1"/>
              <w:spacing w:before="96" w:line="176" w:lineRule="auto"/>
              <w:rPr/>
            </w:pPr>
            <w:r>
              <w:rPr>
                <w:color w:val="231F20"/>
                <w:spacing w:val="-10"/>
              </w:rPr>
              <w:t>415434.68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1"/>
              <w:spacing w:before="96" w:line="176" w:lineRule="auto"/>
              <w:rPr/>
            </w:pPr>
            <w:r>
              <w:rPr>
                <w:color w:val="231F20"/>
                <w:spacing w:val="-10"/>
              </w:rPr>
              <w:t>419189.59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291"/>
              <w:spacing w:before="96" w:line="176" w:lineRule="auto"/>
              <w:rPr/>
            </w:pPr>
            <w:r>
              <w:rPr>
                <w:color w:val="231F20"/>
                <w:spacing w:val="-10"/>
              </w:rPr>
              <w:t>421114.23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101" w:line="173" w:lineRule="auto"/>
              <w:rPr/>
            </w:pPr>
            <w:r>
              <w:rPr>
                <w:color w:val="231F20"/>
                <w:spacing w:val="-1"/>
              </w:rPr>
              <w:t>对其他居民部门债权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93"/>
              <w:spacing w:before="97" w:line="176" w:lineRule="auto"/>
              <w:rPr/>
            </w:pPr>
            <w:r>
              <w:rPr>
                <w:color w:val="231F20"/>
                <w:spacing w:val="-11"/>
              </w:rPr>
              <w:t>177254.15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97" w:line="176" w:lineRule="auto"/>
              <w:rPr/>
            </w:pPr>
            <w:r>
              <w:rPr>
                <w:color w:val="231F20"/>
                <w:spacing w:val="-11"/>
              </w:rPr>
              <w:t>176848.35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97" w:line="176" w:lineRule="auto"/>
              <w:rPr/>
            </w:pPr>
            <w:r>
              <w:rPr>
                <w:color w:val="231F20"/>
                <w:spacing w:val="-11"/>
              </w:rPr>
              <w:t>177124.84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08"/>
              <w:spacing w:before="97" w:line="176" w:lineRule="auto"/>
              <w:rPr/>
            </w:pPr>
            <w:r>
              <w:rPr>
                <w:color w:val="231F20"/>
                <w:spacing w:val="-11"/>
              </w:rPr>
              <w:t>178935.21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101" w:line="173" w:lineRule="auto"/>
              <w:rPr/>
            </w:pPr>
            <w:r>
              <w:rPr>
                <w:color w:val="231F20"/>
                <w:spacing w:val="-1"/>
              </w:rPr>
              <w:t>其他资产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668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25676.11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3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25483.39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3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25056.39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83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23998.11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67"/>
              <w:spacing w:before="102" w:line="172" w:lineRule="auto"/>
              <w:rPr/>
            </w:pPr>
            <w:r>
              <w:rPr>
                <w:color w:val="231F20"/>
                <w:spacing w:val="-3"/>
              </w:rPr>
              <w:t>总资产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78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934272.07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3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944173.42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4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951171.28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294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966709.69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104" w:line="171" w:lineRule="auto"/>
              <w:rPr/>
            </w:pPr>
            <w:r>
              <w:rPr>
                <w:color w:val="231F20"/>
                <w:spacing w:val="-1"/>
              </w:rPr>
              <w:t>对非金融机构及住户负债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76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436660.19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1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444124.03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1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448449.61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291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458668.09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422"/>
              <w:spacing w:before="104" w:line="171" w:lineRule="auto"/>
              <w:rPr/>
            </w:pPr>
            <w:r>
              <w:rPr>
                <w:color w:val="231F20"/>
                <w:spacing w:val="-1"/>
              </w:rPr>
              <w:t>纳入广义货币的存款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76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419522.97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1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425711.28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1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430358.82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291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438794.54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599"/>
              <w:spacing w:before="104" w:line="171" w:lineRule="auto"/>
              <w:rPr/>
            </w:pPr>
            <w:r>
              <w:rPr>
                <w:color w:val="231F20"/>
                <w:spacing w:val="-1"/>
              </w:rPr>
              <w:t>单位活期存款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93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137274.11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132986.54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119895.49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08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128110.29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599"/>
              <w:spacing w:before="105" w:line="170" w:lineRule="auto"/>
              <w:rPr/>
            </w:pPr>
            <w:r>
              <w:rPr>
                <w:color w:val="231F20"/>
                <w:spacing w:val="-1"/>
              </w:rPr>
              <w:t>单位定期存款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93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139887.55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147042.54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162612.13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08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158495.03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598"/>
              <w:spacing w:before="105" w:line="170" w:lineRule="auto"/>
              <w:rPr/>
            </w:pPr>
            <w:r>
              <w:rPr>
                <w:color w:val="231F20"/>
                <w:spacing w:val="-1"/>
              </w:rPr>
              <w:t>个人存款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93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142361.31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145682.20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147851.20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08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152189.22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420"/>
              <w:spacing w:before="107" w:line="169" w:lineRule="auto"/>
              <w:rPr/>
            </w:pPr>
            <w:r>
              <w:rPr>
                <w:color w:val="231F20"/>
                <w:spacing w:val="-1"/>
              </w:rPr>
              <w:t>不纳入广义货币的存款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682"/>
              <w:spacing w:before="104" w:line="171" w:lineRule="auto"/>
              <w:rPr/>
            </w:pPr>
            <w:r>
              <w:rPr>
                <w:color w:val="231F20"/>
                <w:spacing w:val="-11"/>
              </w:rPr>
              <w:t>13136.83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97"/>
              <w:spacing w:before="104" w:line="171" w:lineRule="auto"/>
              <w:rPr/>
            </w:pPr>
            <w:r>
              <w:rPr>
                <w:color w:val="231F20"/>
                <w:spacing w:val="-11"/>
              </w:rPr>
              <w:t>13930.36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98"/>
              <w:spacing w:before="104" w:line="171" w:lineRule="auto"/>
              <w:rPr/>
            </w:pPr>
            <w:r>
              <w:rPr>
                <w:color w:val="231F20"/>
                <w:spacing w:val="-11"/>
              </w:rPr>
              <w:t>13657.63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98"/>
              <w:spacing w:before="104" w:line="171" w:lineRule="auto"/>
              <w:rPr/>
            </w:pPr>
            <w:r>
              <w:rPr>
                <w:color w:val="231F20"/>
                <w:spacing w:val="-11"/>
              </w:rPr>
              <w:t>13756.75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602"/>
              <w:spacing w:before="107" w:line="169" w:lineRule="auto"/>
              <w:rPr/>
            </w:pPr>
            <w:r>
              <w:rPr>
                <w:color w:val="231F20"/>
                <w:spacing w:val="-2"/>
              </w:rPr>
              <w:t>可转让存款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758"/>
              <w:spacing w:before="104" w:line="171" w:lineRule="auto"/>
              <w:rPr/>
            </w:pPr>
            <w:r>
              <w:rPr>
                <w:color w:val="231F20"/>
                <w:spacing w:val="-10"/>
              </w:rPr>
              <w:t>5048.13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73"/>
              <w:spacing w:before="104" w:line="171" w:lineRule="auto"/>
              <w:rPr/>
            </w:pPr>
            <w:r>
              <w:rPr>
                <w:color w:val="231F20"/>
                <w:spacing w:val="-10"/>
              </w:rPr>
              <w:t>5234.66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69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4766.77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73"/>
              <w:spacing w:before="104" w:line="171" w:lineRule="auto"/>
              <w:rPr/>
            </w:pPr>
            <w:r>
              <w:rPr>
                <w:color w:val="231F20"/>
                <w:spacing w:val="-10"/>
              </w:rPr>
              <w:t>5295.55</w:t>
            </w:r>
          </w:p>
        </w:tc>
      </w:tr>
      <w:tr>
        <w:trPr>
          <w:trHeight w:val="362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599"/>
              <w:spacing w:before="108" w:line="169" w:lineRule="auto"/>
              <w:rPr/>
            </w:pPr>
            <w:r>
              <w:rPr>
                <w:color w:val="231F20"/>
                <w:spacing w:val="-1"/>
              </w:rPr>
              <w:t>其他存款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759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8088.70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74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8695.70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74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8890.86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74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8461.21</w:t>
            </w:r>
          </w:p>
        </w:tc>
      </w:tr>
      <w:tr>
        <w:trPr>
          <w:trHeight w:val="362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419"/>
              <w:spacing w:before="108" w:line="169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754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4000.40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69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4482.39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69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4433.16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73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6116.80</w:t>
            </w:r>
          </w:p>
        </w:tc>
      </w:tr>
      <w:tr>
        <w:trPr>
          <w:trHeight w:val="360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109" w:line="167" w:lineRule="auto"/>
              <w:rPr/>
            </w:pPr>
            <w:r>
              <w:rPr>
                <w:color w:val="231F20"/>
                <w:spacing w:val="-1"/>
              </w:rPr>
              <w:t>对中央银行负债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665"/>
              <w:spacing w:before="104" w:line="170" w:lineRule="auto"/>
              <w:rPr/>
            </w:pPr>
            <w:r>
              <w:rPr>
                <w:color w:val="231F20"/>
                <w:spacing w:val="-9"/>
              </w:rPr>
              <w:t>43237.70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0"/>
              <w:spacing w:before="104" w:line="170" w:lineRule="auto"/>
              <w:rPr/>
            </w:pPr>
            <w:r>
              <w:rPr>
                <w:color w:val="231F20"/>
                <w:spacing w:val="-9"/>
              </w:rPr>
              <w:t>40043.92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0"/>
              <w:spacing w:before="104" w:line="170" w:lineRule="auto"/>
              <w:rPr/>
            </w:pPr>
            <w:r>
              <w:rPr>
                <w:color w:val="231F20"/>
                <w:spacing w:val="-9"/>
              </w:rPr>
              <w:t>42647.34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86"/>
              <w:spacing w:before="104" w:line="170" w:lineRule="auto"/>
              <w:rPr/>
            </w:pPr>
            <w:r>
              <w:rPr>
                <w:color w:val="231F20"/>
                <w:spacing w:val="-10"/>
              </w:rPr>
              <w:t>35980.57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110" w:line="167" w:lineRule="auto"/>
              <w:rPr/>
            </w:pPr>
            <w:r>
              <w:rPr>
                <w:color w:val="231F20"/>
                <w:spacing w:val="-1"/>
              </w:rPr>
              <w:t>对其他存款性公司负债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665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40951.65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6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36401.32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6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36764.46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86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37204.04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110" w:line="167" w:lineRule="auto"/>
              <w:rPr/>
            </w:pPr>
            <w:r>
              <w:rPr>
                <w:color w:val="231F20"/>
                <w:spacing w:val="-1"/>
              </w:rPr>
              <w:t>对其他金融性公司负债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668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99088.46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3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95622.80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3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95477.71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08"/>
              <w:spacing w:before="107" w:line="169" w:lineRule="auto"/>
              <w:rPr/>
            </w:pPr>
            <w:r>
              <w:rPr>
                <w:color w:val="231F20"/>
                <w:spacing w:val="-11"/>
              </w:rPr>
              <w:t>100097.00</w:t>
            </w:r>
          </w:p>
        </w:tc>
      </w:tr>
      <w:tr>
        <w:trPr>
          <w:trHeight w:val="362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419"/>
              <w:spacing w:before="111" w:line="167" w:lineRule="auto"/>
              <w:rPr/>
            </w:pPr>
            <w:r>
              <w:rPr>
                <w:color w:val="231F20"/>
                <w:spacing w:val="-1"/>
              </w:rPr>
              <w:t>其中：计入广义货币的存款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668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98016.61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3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94093.40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83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93665.41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83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98051.38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58"/>
              <w:spacing w:before="111" w:line="166" w:lineRule="auto"/>
              <w:rPr/>
            </w:pPr>
            <w:r>
              <w:rPr>
                <w:color w:val="231F20"/>
                <w:spacing w:val="-5"/>
              </w:rPr>
              <w:t>国外负债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754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4131.36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69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4442.62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75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3989.68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75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3228.67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40"/>
              <w:spacing w:before="112" w:line="165" w:lineRule="auto"/>
              <w:rPr/>
            </w:pPr>
            <w:r>
              <w:rPr>
                <w:color w:val="231F20"/>
                <w:spacing w:val="-1"/>
              </w:rPr>
              <w:t>债券发行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93"/>
              <w:spacing w:before="108" w:line="168" w:lineRule="auto"/>
              <w:rPr/>
            </w:pPr>
            <w:r>
              <w:rPr>
                <w:color w:val="231F20"/>
                <w:spacing w:val="-11"/>
              </w:rPr>
              <w:t>194110.05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3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203369.99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294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203371.92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294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212351.69</w:t>
            </w:r>
          </w:p>
        </w:tc>
      </w:tr>
      <w:tr>
        <w:trPr>
          <w:trHeight w:val="361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42"/>
              <w:spacing w:before="112" w:line="165" w:lineRule="auto"/>
              <w:rPr/>
            </w:pPr>
            <w:r>
              <w:rPr>
                <w:color w:val="231F20"/>
                <w:spacing w:val="-2"/>
              </w:rPr>
              <w:t>实收资本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758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5231.88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73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5463.77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473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5463.71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73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5473.85</w:t>
            </w:r>
          </w:p>
        </w:tc>
      </w:tr>
      <w:tr>
        <w:trPr>
          <w:trHeight w:val="362" w:hRule="atLeast"/>
        </w:trPr>
        <w:tc>
          <w:tcPr>
            <w:tcW w:w="3149" w:type="dxa"/>
            <w:vAlign w:val="top"/>
          </w:tcPr>
          <w:p>
            <w:pPr>
              <w:pStyle w:val="TableText"/>
              <w:ind w:left="239"/>
              <w:spacing w:before="112" w:line="166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20" w:type="dxa"/>
            <w:vAlign w:val="top"/>
          </w:tcPr>
          <w:p>
            <w:pPr>
              <w:pStyle w:val="TableText"/>
              <w:ind w:left="593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110860.80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114704.97</w:t>
            </w:r>
          </w:p>
        </w:tc>
        <w:tc>
          <w:tcPr>
            <w:tcW w:w="1335" w:type="dxa"/>
            <w:vAlign w:val="top"/>
          </w:tcPr>
          <w:p>
            <w:pPr>
              <w:pStyle w:val="TableText"/>
              <w:ind w:left="308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115006.86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08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113705.77</w:t>
            </w:r>
          </w:p>
        </w:tc>
      </w:tr>
      <w:tr>
        <w:trPr>
          <w:trHeight w:val="371" w:hRule="atLeast"/>
        </w:trPr>
        <w:tc>
          <w:tcPr>
            <w:tcW w:w="314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7"/>
              <w:spacing w:before="114" w:line="171" w:lineRule="auto"/>
              <w:rPr/>
            </w:pPr>
            <w:r>
              <w:rPr>
                <w:color w:val="231F20"/>
                <w:spacing w:val="-3"/>
              </w:rPr>
              <w:t>总负债</w:t>
            </w:r>
          </w:p>
        </w:tc>
        <w:tc>
          <w:tcPr>
            <w:tcW w:w="1620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78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934272.07</w:t>
            </w:r>
          </w:p>
        </w:tc>
        <w:tc>
          <w:tcPr>
            <w:tcW w:w="133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93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944173.42</w:t>
            </w:r>
          </w:p>
        </w:tc>
        <w:tc>
          <w:tcPr>
            <w:tcW w:w="133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94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951171.28</w:t>
            </w:r>
          </w:p>
        </w:tc>
        <w:tc>
          <w:tcPr>
            <w:tcW w:w="133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94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966709.69</w:t>
            </w:r>
          </w:p>
        </w:tc>
      </w:tr>
    </w:tbl>
    <w:p>
      <w:pPr>
        <w:pStyle w:val="BodyText"/>
        <w:ind w:left="354"/>
        <w:spacing w:before="135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spacing w:line="198" w:lineRule="auto"/>
        <w:sectPr>
          <w:headerReference w:type="default" r:id="rId379"/>
          <w:pgSz w:w="11906" w:h="16158"/>
          <w:pgMar w:top="1367" w:right="1700" w:bottom="400" w:left="1417" w:header="1044" w:footer="0" w:gutter="0"/>
        </w:sectPr>
        <w:rPr>
          <w:sz w:val="18"/>
          <w:szCs w:val="18"/>
        </w:rPr>
      </w:pPr>
    </w:p>
    <w:p>
      <w:pPr>
        <w:pStyle w:val="BodyText"/>
        <w:spacing w:line="284" w:lineRule="auto"/>
        <w:rPr/>
      </w:pPr>
      <w:r/>
    </w:p>
    <w:p>
      <w:pPr>
        <w:pStyle w:val="BodyText"/>
        <w:ind w:left="429"/>
        <w:spacing w:before="102" w:line="196" w:lineRule="auto"/>
        <w:rPr/>
      </w:pPr>
      <w:r>
        <w:rPr>
          <w:color w:val="174B8B"/>
          <w:spacing w:val="-1"/>
        </w:rPr>
        <w:t>附表</w:t>
      </w:r>
      <w:r>
        <w:rPr>
          <w:color w:val="174B8B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12                                   2024</w:t>
      </w:r>
      <w:r>
        <w:rPr>
          <w:color w:val="174B8B"/>
          <w:spacing w:val="-1"/>
        </w:rPr>
        <w:t>年中资小型银行资产负债表</w:t>
      </w:r>
    </w:p>
    <w:p>
      <w:pPr>
        <w:pStyle w:val="BodyText"/>
        <w:ind w:left="3754"/>
        <w:spacing w:line="178" w:lineRule="auto"/>
        <w:rPr/>
      </w:pPr>
      <w:r>
        <w:rPr>
          <w:color w:val="231F20"/>
          <w:spacing w:val="3"/>
        </w:rPr>
        <w:t>（季末余额）</w:t>
      </w:r>
    </w:p>
    <w:p>
      <w:pPr>
        <w:pStyle w:val="BodyText"/>
        <w:ind w:left="7287"/>
        <w:spacing w:before="15" w:line="180" w:lineRule="auto"/>
        <w:rPr/>
      </w:pPr>
      <w:r>
        <w:rPr>
          <w:color w:val="231F20"/>
          <w:spacing w:val="-1"/>
        </w:rPr>
        <w:t>单位：亿元</w:t>
      </w:r>
    </w:p>
    <w:p>
      <w:pPr>
        <w:spacing w:line="58" w:lineRule="exact"/>
        <w:rPr/>
      </w:pPr>
      <w:r/>
    </w:p>
    <w:tbl>
      <w:tblPr>
        <w:tblStyle w:val="TableNormal"/>
        <w:tblW w:w="879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48"/>
        <w:gridCol w:w="1648"/>
        <w:gridCol w:w="1320"/>
        <w:gridCol w:w="1321"/>
        <w:gridCol w:w="1360"/>
      </w:tblGrid>
      <w:tr>
        <w:trPr>
          <w:trHeight w:val="396" w:hRule="atLeast"/>
        </w:trPr>
        <w:tc>
          <w:tcPr>
            <w:tcW w:w="314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401"/>
              <w:spacing w:before="110" w:line="172" w:lineRule="auto"/>
              <w:rPr/>
            </w:pPr>
            <w:r>
              <w:drawing>
                <wp:anchor distT="0" distB="0" distL="0" distR="0" simplePos="0" relativeHeight="252679168" behindDoc="1" locked="0" layoutInCell="1" allowOverlap="1">
                  <wp:simplePos x="0" y="0"/>
                  <wp:positionH relativeFrom="column">
                    <wp:posOffset>-5</wp:posOffset>
                  </wp:positionH>
                  <wp:positionV relativeFrom="paragraph">
                    <wp:posOffset>-6225</wp:posOffset>
                  </wp:positionV>
                  <wp:extent cx="5586260" cy="7149604"/>
                  <wp:effectExtent l="0" t="0" r="0" b="0"/>
                  <wp:wrapNone/>
                  <wp:docPr id="736" name="IM 7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36" name="IM 736"/>
                          <pic:cNvPicPr/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86260" cy="7149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64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69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第一季度</w:t>
            </w:r>
          </w:p>
        </w:tc>
        <w:tc>
          <w:tcPr>
            <w:tcW w:w="1320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41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第二季度</w:t>
            </w:r>
          </w:p>
        </w:tc>
        <w:tc>
          <w:tcPr>
            <w:tcW w:w="132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42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第三季度</w:t>
            </w:r>
          </w:p>
        </w:tc>
        <w:tc>
          <w:tcPr>
            <w:tcW w:w="1360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42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第四季度</w:t>
            </w:r>
          </w:p>
        </w:tc>
      </w:tr>
      <w:tr>
        <w:trPr>
          <w:trHeight w:val="350" w:hRule="atLeast"/>
        </w:trPr>
        <w:tc>
          <w:tcPr>
            <w:tcW w:w="314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8"/>
              <w:spacing w:before="84" w:line="177" w:lineRule="auto"/>
              <w:rPr/>
            </w:pPr>
            <w:r>
              <w:rPr>
                <w:color w:val="231F20"/>
                <w:spacing w:val="-5"/>
              </w:rPr>
              <w:t>国外资产</w:t>
            </w:r>
          </w:p>
        </w:tc>
        <w:tc>
          <w:tcPr>
            <w:tcW w:w="164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826"/>
              <w:spacing w:before="81" w:line="179" w:lineRule="auto"/>
              <w:rPr/>
            </w:pPr>
            <w:r>
              <w:rPr>
                <w:color w:val="231F20"/>
                <w:spacing w:val="-9"/>
              </w:rPr>
              <w:t>4566.44</w:t>
            </w:r>
          </w:p>
        </w:tc>
        <w:tc>
          <w:tcPr>
            <w:tcW w:w="1320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98"/>
              <w:spacing w:before="81" w:line="179" w:lineRule="auto"/>
              <w:rPr/>
            </w:pPr>
            <w:r>
              <w:rPr>
                <w:color w:val="231F20"/>
                <w:spacing w:val="-9"/>
              </w:rPr>
              <w:t>4487.73</w:t>
            </w:r>
          </w:p>
        </w:tc>
        <w:tc>
          <w:tcPr>
            <w:tcW w:w="132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99"/>
              <w:spacing w:before="81" w:line="179" w:lineRule="auto"/>
              <w:rPr/>
            </w:pPr>
            <w:r>
              <w:rPr>
                <w:color w:val="231F20"/>
                <w:spacing w:val="-9"/>
              </w:rPr>
              <w:t>4650.84</w:t>
            </w:r>
          </w:p>
        </w:tc>
        <w:tc>
          <w:tcPr>
            <w:tcW w:w="1360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02"/>
              <w:spacing w:before="81" w:line="179" w:lineRule="auto"/>
              <w:rPr/>
            </w:pPr>
            <w:r>
              <w:rPr>
                <w:color w:val="231F20"/>
                <w:spacing w:val="-10"/>
              </w:rPr>
              <w:t>5079.99</w:t>
            </w:r>
          </w:p>
        </w:tc>
      </w:tr>
      <w:tr>
        <w:trPr>
          <w:trHeight w:val="362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8"/>
              <w:spacing w:before="96" w:line="177" w:lineRule="auto"/>
              <w:rPr/>
            </w:pPr>
            <w:r>
              <w:rPr>
                <w:color w:val="231F20"/>
                <w:spacing w:val="-1"/>
              </w:rPr>
              <w:t>储备资产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40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60021.59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12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62025.50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3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61565.57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12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65574.57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423"/>
              <w:spacing w:before="95" w:line="177" w:lineRule="auto"/>
              <w:rPr/>
            </w:pPr>
            <w:r>
              <w:rPr>
                <w:color w:val="231F20"/>
                <w:spacing w:val="-2"/>
              </w:rPr>
              <w:t>准备金存款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40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57818.33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12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60258.03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3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59567.83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12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63599.01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420"/>
              <w:spacing w:before="97" w:line="176" w:lineRule="auto"/>
              <w:rPr/>
            </w:pPr>
            <w:r>
              <w:rPr>
                <w:color w:val="231F20"/>
                <w:spacing w:val="-1"/>
              </w:rPr>
              <w:t>库存现金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828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2203.26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516"/>
              <w:spacing w:before="92" w:line="179" w:lineRule="auto"/>
              <w:rPr/>
            </w:pPr>
            <w:r>
              <w:rPr>
                <w:color w:val="231F20"/>
                <w:spacing w:val="-11"/>
              </w:rPr>
              <w:t>1767.47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516"/>
              <w:spacing w:before="92" w:line="179" w:lineRule="auto"/>
              <w:rPr/>
            </w:pPr>
            <w:r>
              <w:rPr>
                <w:color w:val="231F20"/>
                <w:spacing w:val="-11"/>
              </w:rPr>
              <w:t>1997.74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516"/>
              <w:spacing w:before="92" w:line="179" w:lineRule="auto"/>
              <w:rPr/>
            </w:pPr>
            <w:r>
              <w:rPr>
                <w:color w:val="231F20"/>
                <w:spacing w:val="-11"/>
              </w:rPr>
              <w:t>1975.56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对政府债权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65"/>
              <w:spacing w:before="94" w:line="178" w:lineRule="auto"/>
              <w:rPr/>
            </w:pPr>
            <w:r>
              <w:rPr>
                <w:color w:val="231F20"/>
                <w:spacing w:val="-11"/>
              </w:rPr>
              <w:t>130196.80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37"/>
              <w:spacing w:before="94" w:line="178" w:lineRule="auto"/>
              <w:rPr/>
            </w:pPr>
            <w:r>
              <w:rPr>
                <w:color w:val="231F20"/>
                <w:spacing w:val="-11"/>
              </w:rPr>
              <w:t>132576.96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38"/>
              <w:spacing w:before="94" w:line="178" w:lineRule="auto"/>
              <w:rPr/>
            </w:pPr>
            <w:r>
              <w:rPr>
                <w:color w:val="231F20"/>
                <w:spacing w:val="-11"/>
              </w:rPr>
              <w:t>138429.95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37"/>
              <w:spacing w:before="94" w:line="178" w:lineRule="auto"/>
              <w:rPr/>
            </w:pPr>
            <w:r>
              <w:rPr>
                <w:color w:val="231F20"/>
                <w:spacing w:val="-11"/>
              </w:rPr>
              <w:t>145046.75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对中央银行债权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1004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45.69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682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33.93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683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32.55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677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46.14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对其他存款性公司债权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65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142169.34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37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142586.39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38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144096.47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37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146017.98</w:t>
            </w:r>
          </w:p>
        </w:tc>
      </w:tr>
      <w:tr>
        <w:trPr>
          <w:trHeight w:val="362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99" w:line="175" w:lineRule="auto"/>
              <w:rPr/>
            </w:pPr>
            <w:r>
              <w:rPr>
                <w:color w:val="231F20"/>
                <w:spacing w:val="-1"/>
              </w:rPr>
              <w:t>对其他金融性公司债权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39"/>
              <w:spacing w:before="96" w:line="177" w:lineRule="auto"/>
              <w:rPr/>
            </w:pPr>
            <w:r>
              <w:rPr>
                <w:color w:val="231F20"/>
                <w:spacing w:val="-10"/>
              </w:rPr>
              <w:t>92619.45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12"/>
              <w:spacing w:before="96" w:line="177" w:lineRule="auto"/>
              <w:rPr/>
            </w:pPr>
            <w:r>
              <w:rPr>
                <w:color w:val="231F20"/>
                <w:spacing w:val="-10"/>
              </w:rPr>
              <w:t>96567.50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2"/>
              <w:spacing w:before="96" w:line="177" w:lineRule="auto"/>
              <w:rPr/>
            </w:pPr>
            <w:r>
              <w:rPr>
                <w:color w:val="231F20"/>
                <w:spacing w:val="-10"/>
              </w:rPr>
              <w:t>96534.30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12"/>
              <w:spacing w:before="96" w:line="177" w:lineRule="auto"/>
              <w:rPr/>
            </w:pPr>
            <w:r>
              <w:rPr>
                <w:color w:val="231F20"/>
                <w:spacing w:val="-10"/>
              </w:rPr>
              <w:t>96280.41</w:t>
            </w:r>
          </w:p>
        </w:tc>
      </w:tr>
      <w:tr>
        <w:trPr>
          <w:trHeight w:val="360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100" w:line="173" w:lineRule="auto"/>
              <w:rPr/>
            </w:pPr>
            <w:r>
              <w:rPr>
                <w:color w:val="231F20"/>
                <w:spacing w:val="-1"/>
              </w:rPr>
              <w:t>对非金融性公司债权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47"/>
              <w:spacing w:before="96" w:line="176" w:lineRule="auto"/>
              <w:rPr/>
            </w:pPr>
            <w:r>
              <w:rPr>
                <w:color w:val="231F20"/>
                <w:spacing w:val="-10"/>
              </w:rPr>
              <w:t>410462.96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20"/>
              <w:spacing w:before="96" w:line="176" w:lineRule="auto"/>
              <w:rPr/>
            </w:pPr>
            <w:r>
              <w:rPr>
                <w:color w:val="231F20"/>
                <w:spacing w:val="-10"/>
              </w:rPr>
              <w:t>415859.07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20"/>
              <w:spacing w:before="96" w:line="176" w:lineRule="auto"/>
              <w:rPr/>
            </w:pPr>
            <w:r>
              <w:rPr>
                <w:color w:val="231F20"/>
                <w:spacing w:val="-10"/>
              </w:rPr>
              <w:t>419711.86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20"/>
              <w:spacing w:before="96" w:line="176" w:lineRule="auto"/>
              <w:rPr/>
            </w:pPr>
            <w:r>
              <w:rPr>
                <w:color w:val="231F20"/>
                <w:spacing w:val="-10"/>
              </w:rPr>
              <w:t>420139.97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101" w:line="173" w:lineRule="auto"/>
              <w:rPr/>
            </w:pPr>
            <w:r>
              <w:rPr>
                <w:color w:val="231F20"/>
                <w:spacing w:val="-1"/>
              </w:rPr>
              <w:t>对其他居民部门债权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50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209235.69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22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209914.81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23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212213.82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22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213762.17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101" w:line="173" w:lineRule="auto"/>
              <w:rPr/>
            </w:pPr>
            <w:r>
              <w:rPr>
                <w:color w:val="231F20"/>
                <w:spacing w:val="-1"/>
              </w:rPr>
              <w:t>其他资产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42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36155.44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15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35797.01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5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36607.56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15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35918.98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67"/>
              <w:spacing w:before="102" w:line="172" w:lineRule="auto"/>
              <w:rPr/>
            </w:pPr>
            <w:r>
              <w:rPr>
                <w:color w:val="231F20"/>
                <w:spacing w:val="-3"/>
              </w:rPr>
              <w:t>总资产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575"/>
              <w:spacing w:before="99" w:line="174" w:lineRule="auto"/>
              <w:rPr/>
            </w:pPr>
            <w:r>
              <w:rPr>
                <w:color w:val="231F20"/>
                <w:spacing w:val="-11"/>
              </w:rPr>
              <w:t>1085473.42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248"/>
              <w:spacing w:before="99" w:line="174" w:lineRule="auto"/>
              <w:rPr/>
            </w:pPr>
            <w:r>
              <w:rPr>
                <w:color w:val="231F20"/>
                <w:spacing w:val="-11"/>
              </w:rPr>
              <w:t>1099848.91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248"/>
              <w:spacing w:before="99" w:line="174" w:lineRule="auto"/>
              <w:rPr/>
            </w:pPr>
            <w:r>
              <w:rPr>
                <w:color w:val="231F20"/>
                <w:spacing w:val="-11"/>
              </w:rPr>
              <w:t>1113842.91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248"/>
              <w:spacing w:before="99" w:line="174" w:lineRule="auto"/>
              <w:rPr/>
            </w:pPr>
            <w:r>
              <w:rPr>
                <w:color w:val="231F20"/>
                <w:spacing w:val="-11"/>
              </w:rPr>
              <w:t>1127866.97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104" w:line="171" w:lineRule="auto"/>
              <w:rPr/>
            </w:pPr>
            <w:r>
              <w:rPr>
                <w:color w:val="231F20"/>
                <w:spacing w:val="-1"/>
              </w:rPr>
              <w:t>对非金融机构及住户负债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48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762076.36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21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773751.10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22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781516.87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21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795131.98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422"/>
              <w:spacing w:before="104" w:line="171" w:lineRule="auto"/>
              <w:rPr/>
            </w:pPr>
            <w:r>
              <w:rPr>
                <w:color w:val="231F20"/>
                <w:spacing w:val="-1"/>
              </w:rPr>
              <w:t>纳入广义货币的存款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48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754816.17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21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765949.01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22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773637.94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21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786047.05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599"/>
              <w:spacing w:before="104" w:line="171" w:lineRule="auto"/>
              <w:rPr/>
            </w:pPr>
            <w:r>
              <w:rPr>
                <w:color w:val="231F20"/>
                <w:spacing w:val="-1"/>
              </w:rPr>
              <w:t>单位活期存款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65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122746.01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37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116849.72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38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108855.07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37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115270.19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599"/>
              <w:spacing w:before="105" w:line="170" w:lineRule="auto"/>
              <w:rPr/>
            </w:pPr>
            <w:r>
              <w:rPr>
                <w:color w:val="231F20"/>
                <w:spacing w:val="-1"/>
              </w:rPr>
              <w:t>单位定期存款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65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120499.58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37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128542.09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38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135499.66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37"/>
              <w:spacing w:before="102" w:line="172" w:lineRule="auto"/>
              <w:rPr/>
            </w:pPr>
            <w:r>
              <w:rPr>
                <w:color w:val="231F20"/>
                <w:spacing w:val="-11"/>
              </w:rPr>
              <w:t>133911.09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598"/>
              <w:spacing w:before="105" w:line="170" w:lineRule="auto"/>
              <w:rPr/>
            </w:pPr>
            <w:r>
              <w:rPr>
                <w:color w:val="231F20"/>
                <w:spacing w:val="-1"/>
              </w:rPr>
              <w:t>个人存款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50"/>
              <w:spacing w:before="102" w:line="172" w:lineRule="auto"/>
              <w:rPr/>
            </w:pPr>
            <w:r>
              <w:rPr>
                <w:color w:val="231F20"/>
                <w:spacing w:val="-10"/>
              </w:rPr>
              <w:t>511570.58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23"/>
              <w:spacing w:before="102" w:line="172" w:lineRule="auto"/>
              <w:rPr/>
            </w:pPr>
            <w:r>
              <w:rPr>
                <w:color w:val="231F20"/>
                <w:spacing w:val="-10"/>
              </w:rPr>
              <w:t>520557.20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24"/>
              <w:spacing w:before="102" w:line="172" w:lineRule="auto"/>
              <w:rPr/>
            </w:pPr>
            <w:r>
              <w:rPr>
                <w:color w:val="231F20"/>
                <w:spacing w:val="-10"/>
              </w:rPr>
              <w:t>529283.21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23"/>
              <w:spacing w:before="102" w:line="172" w:lineRule="auto"/>
              <w:rPr/>
            </w:pPr>
            <w:r>
              <w:rPr>
                <w:color w:val="231F20"/>
                <w:spacing w:val="-10"/>
              </w:rPr>
              <w:t>536865.77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420"/>
              <w:spacing w:before="107" w:line="169" w:lineRule="auto"/>
              <w:rPr/>
            </w:pPr>
            <w:r>
              <w:rPr>
                <w:color w:val="231F20"/>
                <w:spacing w:val="-1"/>
              </w:rPr>
              <w:t>不纳入广义货币的存款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829"/>
              <w:spacing w:before="104" w:line="171" w:lineRule="auto"/>
              <w:rPr/>
            </w:pPr>
            <w:r>
              <w:rPr>
                <w:color w:val="231F20"/>
                <w:spacing w:val="-10"/>
              </w:rPr>
              <w:t>5070.54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502"/>
              <w:spacing w:before="104" w:line="171" w:lineRule="auto"/>
              <w:rPr/>
            </w:pPr>
            <w:r>
              <w:rPr>
                <w:color w:val="231F20"/>
                <w:spacing w:val="-10"/>
              </w:rPr>
              <w:t>5401.75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502"/>
              <w:spacing w:before="104" w:line="171" w:lineRule="auto"/>
              <w:rPr/>
            </w:pPr>
            <w:r>
              <w:rPr>
                <w:color w:val="231F20"/>
                <w:spacing w:val="-10"/>
              </w:rPr>
              <w:t>5357.52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502"/>
              <w:spacing w:before="104" w:line="171" w:lineRule="auto"/>
              <w:rPr/>
            </w:pPr>
            <w:r>
              <w:rPr>
                <w:color w:val="231F20"/>
                <w:spacing w:val="-10"/>
              </w:rPr>
              <w:t>5579.86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602"/>
              <w:spacing w:before="107" w:line="169" w:lineRule="auto"/>
              <w:rPr/>
            </w:pPr>
            <w:r>
              <w:rPr>
                <w:color w:val="231F20"/>
                <w:spacing w:val="-2"/>
              </w:rPr>
              <w:t>可转让存款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843"/>
              <w:spacing w:before="104" w:line="171" w:lineRule="auto"/>
              <w:rPr/>
            </w:pPr>
            <w:r>
              <w:rPr>
                <w:color w:val="231F20"/>
                <w:spacing w:val="-11"/>
              </w:rPr>
              <w:t>1857.08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516"/>
              <w:spacing w:before="104" w:line="171" w:lineRule="auto"/>
              <w:rPr/>
            </w:pPr>
            <w:r>
              <w:rPr>
                <w:color w:val="231F20"/>
                <w:spacing w:val="-11"/>
              </w:rPr>
              <w:t>1943.62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516"/>
              <w:spacing w:before="104" w:line="171" w:lineRule="auto"/>
              <w:rPr/>
            </w:pPr>
            <w:r>
              <w:rPr>
                <w:color w:val="231F20"/>
                <w:spacing w:val="-11"/>
              </w:rPr>
              <w:t>1873.62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501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2092.36</w:t>
            </w:r>
          </w:p>
        </w:tc>
      </w:tr>
      <w:tr>
        <w:trPr>
          <w:trHeight w:val="362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599"/>
              <w:spacing w:before="108" w:line="169" w:lineRule="auto"/>
              <w:rPr/>
            </w:pPr>
            <w:r>
              <w:rPr>
                <w:color w:val="231F20"/>
                <w:spacing w:val="-1"/>
              </w:rPr>
              <w:t>其他存款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831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3213.47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504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3458.13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504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3483.90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504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3487.50</w:t>
            </w:r>
          </w:p>
        </w:tc>
      </w:tr>
      <w:tr>
        <w:trPr>
          <w:trHeight w:val="362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419"/>
              <w:spacing w:before="108" w:line="169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828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2189.65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501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2400.33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501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2521.41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504"/>
              <w:spacing w:before="105" w:line="171" w:lineRule="auto"/>
              <w:rPr/>
            </w:pPr>
            <w:r>
              <w:rPr>
                <w:color w:val="231F20"/>
                <w:spacing w:val="-10"/>
              </w:rPr>
              <w:t>3505.06</w:t>
            </w:r>
          </w:p>
        </w:tc>
      </w:tr>
      <w:tr>
        <w:trPr>
          <w:trHeight w:val="360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109" w:line="167" w:lineRule="auto"/>
              <w:rPr/>
            </w:pPr>
            <w:r>
              <w:rPr>
                <w:color w:val="231F20"/>
                <w:spacing w:val="-1"/>
              </w:rPr>
              <w:t>对中央银行负债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42"/>
              <w:spacing w:before="104" w:line="170" w:lineRule="auto"/>
              <w:rPr/>
            </w:pPr>
            <w:r>
              <w:rPr>
                <w:color w:val="231F20"/>
                <w:spacing w:val="-10"/>
              </w:rPr>
              <w:t>37882.62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15"/>
              <w:spacing w:before="104" w:line="170" w:lineRule="auto"/>
              <w:rPr/>
            </w:pPr>
            <w:r>
              <w:rPr>
                <w:color w:val="231F20"/>
                <w:spacing w:val="-10"/>
              </w:rPr>
              <w:t>37308.03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5"/>
              <w:spacing w:before="104" w:line="170" w:lineRule="auto"/>
              <w:rPr/>
            </w:pPr>
            <w:r>
              <w:rPr>
                <w:color w:val="231F20"/>
                <w:spacing w:val="-10"/>
              </w:rPr>
              <w:t>39083.41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15"/>
              <w:spacing w:before="104" w:line="170" w:lineRule="auto"/>
              <w:rPr/>
            </w:pPr>
            <w:r>
              <w:rPr>
                <w:color w:val="231F20"/>
                <w:spacing w:val="-10"/>
              </w:rPr>
              <w:t>37116.04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110" w:line="167" w:lineRule="auto"/>
              <w:rPr/>
            </w:pPr>
            <w:r>
              <w:rPr>
                <w:color w:val="231F20"/>
                <w:spacing w:val="-1"/>
              </w:rPr>
              <w:t>对其他存款性公司负债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40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50027.40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09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48194.50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0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46512.80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09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43483.70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110" w:line="167" w:lineRule="auto"/>
              <w:rPr/>
            </w:pPr>
            <w:r>
              <w:rPr>
                <w:color w:val="231F20"/>
                <w:spacing w:val="-1"/>
              </w:rPr>
              <w:t>对其他金融性公司负债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40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56888.08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12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56524.79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3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56963.58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12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62797.64</w:t>
            </w:r>
          </w:p>
        </w:tc>
      </w:tr>
      <w:tr>
        <w:trPr>
          <w:trHeight w:val="362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419"/>
              <w:spacing w:before="111" w:line="167" w:lineRule="auto"/>
              <w:rPr/>
            </w:pPr>
            <w:r>
              <w:rPr>
                <w:color w:val="231F20"/>
                <w:spacing w:val="-1"/>
              </w:rPr>
              <w:t>其中：计入广义货币的存款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40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56401.57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12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55826.89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3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56008.39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12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61029.64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58"/>
              <w:spacing w:before="111" w:line="166" w:lineRule="auto"/>
              <w:rPr/>
            </w:pPr>
            <w:r>
              <w:rPr>
                <w:color w:val="231F20"/>
                <w:spacing w:val="-5"/>
              </w:rPr>
              <w:t>国外负债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918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926.70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516"/>
              <w:spacing w:before="107" w:line="169" w:lineRule="auto"/>
              <w:rPr/>
            </w:pPr>
            <w:r>
              <w:rPr>
                <w:color w:val="231F20"/>
                <w:spacing w:val="-11"/>
              </w:rPr>
              <w:t>1054.68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593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879.54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593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847.07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40"/>
              <w:spacing w:before="112" w:line="165" w:lineRule="auto"/>
              <w:rPr/>
            </w:pPr>
            <w:r>
              <w:rPr>
                <w:color w:val="231F20"/>
                <w:spacing w:val="-1"/>
              </w:rPr>
              <w:t>债券发行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36"/>
              <w:spacing w:before="108" w:line="168" w:lineRule="auto"/>
              <w:rPr/>
            </w:pPr>
            <w:r>
              <w:rPr>
                <w:color w:val="231F20"/>
                <w:spacing w:val="-9"/>
              </w:rPr>
              <w:t>45546.22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09"/>
              <w:spacing w:before="108" w:line="168" w:lineRule="auto"/>
              <w:rPr/>
            </w:pPr>
            <w:r>
              <w:rPr>
                <w:color w:val="231F20"/>
                <w:spacing w:val="-9"/>
              </w:rPr>
              <w:t>48125.98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3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51590.49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12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51161.90</w:t>
            </w:r>
          </w:p>
        </w:tc>
      </w:tr>
      <w:tr>
        <w:trPr>
          <w:trHeight w:val="361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42"/>
              <w:spacing w:before="112" w:line="165" w:lineRule="auto"/>
              <w:rPr/>
            </w:pPr>
            <w:r>
              <w:rPr>
                <w:color w:val="231F20"/>
                <w:spacing w:val="-2"/>
              </w:rPr>
              <w:t>实收资本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739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22681.67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412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22777.39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412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22841.77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412"/>
              <w:spacing w:before="108" w:line="168" w:lineRule="auto"/>
              <w:rPr/>
            </w:pPr>
            <w:r>
              <w:rPr>
                <w:color w:val="231F20"/>
                <w:spacing w:val="-10"/>
              </w:rPr>
              <w:t>22967.86</w:t>
            </w:r>
          </w:p>
        </w:tc>
      </w:tr>
      <w:tr>
        <w:trPr>
          <w:trHeight w:val="362" w:hRule="atLeast"/>
        </w:trPr>
        <w:tc>
          <w:tcPr>
            <w:tcW w:w="3148" w:type="dxa"/>
            <w:vAlign w:val="top"/>
          </w:tcPr>
          <w:p>
            <w:pPr>
              <w:pStyle w:val="TableText"/>
              <w:ind w:left="239"/>
              <w:spacing w:before="112" w:line="166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48" w:type="dxa"/>
            <w:vAlign w:val="top"/>
          </w:tcPr>
          <w:p>
            <w:pPr>
              <w:pStyle w:val="TableText"/>
              <w:ind w:left="665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109444.37</w:t>
            </w:r>
          </w:p>
        </w:tc>
        <w:tc>
          <w:tcPr>
            <w:tcW w:w="1320" w:type="dxa"/>
            <w:vAlign w:val="top"/>
          </w:tcPr>
          <w:p>
            <w:pPr>
              <w:pStyle w:val="TableText"/>
              <w:ind w:left="337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112112.45</w:t>
            </w:r>
          </w:p>
        </w:tc>
        <w:tc>
          <w:tcPr>
            <w:tcW w:w="1321" w:type="dxa"/>
            <w:vAlign w:val="top"/>
          </w:tcPr>
          <w:p>
            <w:pPr>
              <w:pStyle w:val="TableText"/>
              <w:ind w:left="338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114454.45</w:t>
            </w:r>
          </w:p>
        </w:tc>
        <w:tc>
          <w:tcPr>
            <w:tcW w:w="1360" w:type="dxa"/>
            <w:vAlign w:val="top"/>
          </w:tcPr>
          <w:p>
            <w:pPr>
              <w:pStyle w:val="TableText"/>
              <w:ind w:left="337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114360.78</w:t>
            </w:r>
          </w:p>
        </w:tc>
      </w:tr>
      <w:tr>
        <w:trPr>
          <w:trHeight w:val="371" w:hRule="atLeast"/>
        </w:trPr>
        <w:tc>
          <w:tcPr>
            <w:tcW w:w="314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7"/>
              <w:spacing w:before="114" w:line="171" w:lineRule="auto"/>
              <w:rPr/>
            </w:pPr>
            <w:r>
              <w:rPr>
                <w:color w:val="231F20"/>
                <w:spacing w:val="-3"/>
              </w:rPr>
              <w:t>总负债</w:t>
            </w:r>
          </w:p>
        </w:tc>
        <w:tc>
          <w:tcPr>
            <w:tcW w:w="164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75"/>
              <w:spacing w:before="109" w:line="174" w:lineRule="auto"/>
              <w:rPr/>
            </w:pPr>
            <w:r>
              <w:rPr>
                <w:color w:val="231F20"/>
                <w:spacing w:val="-11"/>
              </w:rPr>
              <w:t>1085473.42</w:t>
            </w:r>
          </w:p>
        </w:tc>
        <w:tc>
          <w:tcPr>
            <w:tcW w:w="1320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48"/>
              <w:spacing w:before="109" w:line="174" w:lineRule="auto"/>
              <w:rPr/>
            </w:pPr>
            <w:r>
              <w:rPr>
                <w:color w:val="231F20"/>
                <w:spacing w:val="-11"/>
              </w:rPr>
              <w:t>1099848.91</w:t>
            </w:r>
          </w:p>
        </w:tc>
        <w:tc>
          <w:tcPr>
            <w:tcW w:w="132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48"/>
              <w:spacing w:before="109" w:line="174" w:lineRule="auto"/>
              <w:rPr/>
            </w:pPr>
            <w:r>
              <w:rPr>
                <w:color w:val="231F20"/>
                <w:spacing w:val="-11"/>
              </w:rPr>
              <w:t>1113842.91</w:t>
            </w:r>
          </w:p>
        </w:tc>
        <w:tc>
          <w:tcPr>
            <w:tcW w:w="1360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48"/>
              <w:spacing w:before="109" w:line="174" w:lineRule="auto"/>
              <w:rPr/>
            </w:pPr>
            <w:r>
              <w:rPr>
                <w:color w:val="231F20"/>
                <w:spacing w:val="-11"/>
              </w:rPr>
              <w:t>1127866.97</w:t>
            </w:r>
          </w:p>
        </w:tc>
      </w:tr>
    </w:tbl>
    <w:p>
      <w:pPr>
        <w:pStyle w:val="BodyText"/>
        <w:ind w:left="354"/>
        <w:spacing w:before="135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spacing w:line="198" w:lineRule="auto"/>
        <w:sectPr>
          <w:headerReference w:type="default" r:id="rId381"/>
          <w:pgSz w:w="11906" w:h="16158"/>
          <w:pgMar w:top="1383" w:right="1407" w:bottom="400" w:left="1700" w:header="1060" w:footer="0" w:gutter="0"/>
        </w:sectPr>
        <w:rPr>
          <w:sz w:val="18"/>
          <w:szCs w:val="18"/>
        </w:rPr>
      </w:pPr>
    </w:p>
    <w:p>
      <w:pPr>
        <w:pStyle w:val="BodyText"/>
        <w:spacing w:line="294" w:lineRule="auto"/>
        <w:rPr/>
      </w:pPr>
      <w:r/>
    </w:p>
    <w:p>
      <w:pPr>
        <w:pStyle w:val="BodyText"/>
        <w:ind w:left="429"/>
        <w:spacing w:before="102" w:line="196" w:lineRule="auto"/>
        <w:rPr/>
      </w:pPr>
      <w:r>
        <w:rPr>
          <w:color w:val="174B8B"/>
          <w:spacing w:val="-1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13                                        2024</w:t>
      </w:r>
      <w:r>
        <w:rPr>
          <w:color w:val="174B8B"/>
          <w:spacing w:val="-1"/>
        </w:rPr>
        <w:t>年外资银行资产负债表</w:t>
      </w:r>
    </w:p>
    <w:p>
      <w:pPr>
        <w:pStyle w:val="BodyText"/>
        <w:ind w:left="3754"/>
        <w:spacing w:line="178" w:lineRule="auto"/>
        <w:rPr/>
      </w:pPr>
      <w:r>
        <w:rPr>
          <w:color w:val="231F20"/>
          <w:spacing w:val="3"/>
        </w:rPr>
        <w:t>（季末余额）</w:t>
      </w:r>
    </w:p>
    <w:p>
      <w:pPr>
        <w:pStyle w:val="BodyText"/>
        <w:ind w:left="7287"/>
        <w:spacing w:before="15" w:line="180" w:lineRule="auto"/>
        <w:rPr/>
      </w:pPr>
      <w:r>
        <w:rPr>
          <w:color w:val="231F20"/>
          <w:spacing w:val="-1"/>
        </w:rPr>
        <w:t>单位：亿元</w:t>
      </w:r>
    </w:p>
    <w:p>
      <w:pPr>
        <w:spacing w:line="35" w:lineRule="exact"/>
        <w:rPr/>
      </w:pPr>
      <w:r/>
    </w:p>
    <w:tbl>
      <w:tblPr>
        <w:tblStyle w:val="TableNormal"/>
        <w:tblW w:w="878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80"/>
        <w:gridCol w:w="1623"/>
        <w:gridCol w:w="1327"/>
        <w:gridCol w:w="1327"/>
        <w:gridCol w:w="1331"/>
      </w:tblGrid>
      <w:tr>
        <w:trPr>
          <w:trHeight w:val="396" w:hRule="atLeast"/>
        </w:trPr>
        <w:tc>
          <w:tcPr>
            <w:tcW w:w="3180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384"/>
              <w:spacing w:before="110" w:line="172" w:lineRule="auto"/>
              <w:rPr/>
            </w:pPr>
            <w:r>
              <w:drawing>
                <wp:anchor distT="0" distB="0" distL="0" distR="0" simplePos="0" relativeHeight="252689408" behindDoc="1" locked="0" layoutInCell="1" allowOverlap="1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-6215</wp:posOffset>
                  </wp:positionV>
                  <wp:extent cx="5580659" cy="7149592"/>
                  <wp:effectExtent l="0" t="0" r="0" b="0"/>
                  <wp:wrapNone/>
                  <wp:docPr id="740" name="IM 7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0" name="IM 740"/>
                          <pic:cNvPicPr/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80659" cy="714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623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06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第一季度</w:t>
            </w:r>
          </w:p>
        </w:tc>
        <w:tc>
          <w:tcPr>
            <w:tcW w:w="1327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10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第二季度</w:t>
            </w:r>
          </w:p>
        </w:tc>
        <w:tc>
          <w:tcPr>
            <w:tcW w:w="1327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10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第三季度</w:t>
            </w:r>
          </w:p>
        </w:tc>
        <w:tc>
          <w:tcPr>
            <w:tcW w:w="133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10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第四季度</w:t>
            </w:r>
          </w:p>
        </w:tc>
      </w:tr>
      <w:tr>
        <w:trPr>
          <w:trHeight w:val="350" w:hRule="atLeast"/>
        </w:trPr>
        <w:tc>
          <w:tcPr>
            <w:tcW w:w="3180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8"/>
              <w:spacing w:before="84" w:line="177" w:lineRule="auto"/>
              <w:rPr/>
            </w:pPr>
            <w:r>
              <w:rPr>
                <w:color w:val="231F20"/>
                <w:spacing w:val="-5"/>
              </w:rPr>
              <w:t>国外资产</w:t>
            </w:r>
          </w:p>
        </w:tc>
        <w:tc>
          <w:tcPr>
            <w:tcW w:w="1623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12"/>
              <w:spacing w:before="81" w:line="179" w:lineRule="auto"/>
              <w:rPr/>
            </w:pPr>
            <w:r>
              <w:rPr>
                <w:color w:val="231F20"/>
                <w:spacing w:val="-9"/>
              </w:rPr>
              <w:t>2879.90</w:t>
            </w:r>
          </w:p>
        </w:tc>
        <w:tc>
          <w:tcPr>
            <w:tcW w:w="1327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9"/>
              <w:spacing w:before="81" w:line="179" w:lineRule="auto"/>
              <w:rPr/>
            </w:pPr>
            <w:r>
              <w:rPr>
                <w:color w:val="231F20"/>
                <w:spacing w:val="-10"/>
              </w:rPr>
              <w:t>3129.08</w:t>
            </w:r>
          </w:p>
        </w:tc>
        <w:tc>
          <w:tcPr>
            <w:tcW w:w="1327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9"/>
              <w:spacing w:before="81" w:line="179" w:lineRule="auto"/>
              <w:rPr/>
            </w:pPr>
            <w:r>
              <w:rPr>
                <w:color w:val="231F20"/>
                <w:spacing w:val="-10"/>
              </w:rPr>
              <w:t>3265.09</w:t>
            </w:r>
          </w:p>
        </w:tc>
        <w:tc>
          <w:tcPr>
            <w:tcW w:w="133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18"/>
              <w:spacing w:before="81" w:line="179" w:lineRule="auto"/>
              <w:rPr/>
            </w:pPr>
            <w:r>
              <w:rPr>
                <w:color w:val="231F20"/>
                <w:spacing w:val="-10"/>
              </w:rPr>
              <w:t>3544.13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8"/>
              <w:spacing w:before="95" w:line="177" w:lineRule="auto"/>
              <w:rPr/>
            </w:pPr>
            <w:r>
              <w:rPr>
                <w:color w:val="231F20"/>
                <w:spacing w:val="-1"/>
              </w:rPr>
              <w:t>储备资产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2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2116.49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2308.42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2454.29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2824.20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423"/>
              <w:spacing w:before="97" w:line="176" w:lineRule="auto"/>
              <w:rPr/>
            </w:pPr>
            <w:r>
              <w:rPr>
                <w:color w:val="231F20"/>
                <w:spacing w:val="-2"/>
              </w:rPr>
              <w:t>准备金存款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2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2114.11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2306.26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2452.25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2822.13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420"/>
              <w:spacing w:before="97" w:line="176" w:lineRule="auto"/>
              <w:rPr/>
            </w:pPr>
            <w:r>
              <w:rPr>
                <w:color w:val="231F20"/>
                <w:spacing w:val="-1"/>
              </w:rPr>
              <w:t>库存现金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980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2.38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684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2.16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684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2.03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683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2.07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对政府债权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3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5608.90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7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5492.44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5486.48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95" w:line="177" w:lineRule="auto"/>
              <w:rPr/>
            </w:pPr>
            <w:r>
              <w:rPr>
                <w:color w:val="231F20"/>
                <w:spacing w:val="-10"/>
              </w:rPr>
              <w:t>5217.92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99" w:line="174" w:lineRule="auto"/>
              <w:rPr/>
            </w:pPr>
            <w:r>
              <w:rPr>
                <w:color w:val="231F20"/>
                <w:spacing w:val="-1"/>
              </w:rPr>
              <w:t>对中央银行债权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893"/>
              <w:spacing w:before="95" w:line="177" w:lineRule="auto"/>
              <w:rPr/>
            </w:pPr>
            <w:r>
              <w:rPr>
                <w:color w:val="231F20"/>
                <w:spacing w:val="-9"/>
              </w:rPr>
              <w:t>30.91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595"/>
              <w:spacing w:before="95" w:line="177" w:lineRule="auto"/>
              <w:rPr/>
            </w:pPr>
            <w:r>
              <w:rPr>
                <w:color w:val="231F20"/>
                <w:spacing w:val="-9"/>
              </w:rPr>
              <w:t>50.80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595"/>
              <w:spacing w:before="95" w:line="177" w:lineRule="auto"/>
              <w:rPr/>
            </w:pPr>
            <w:r>
              <w:rPr>
                <w:color w:val="231F20"/>
                <w:spacing w:val="-9"/>
              </w:rPr>
              <w:t>53.74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96"/>
              <w:spacing w:before="95" w:line="177" w:lineRule="auto"/>
              <w:rPr/>
            </w:pPr>
            <w:r>
              <w:rPr>
                <w:color w:val="231F20"/>
                <w:spacing w:val="-9"/>
              </w:rPr>
              <w:t>80.83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99" w:line="174" w:lineRule="auto"/>
              <w:rPr/>
            </w:pPr>
            <w:r>
              <w:rPr>
                <w:color w:val="231F20"/>
                <w:spacing w:val="-1"/>
              </w:rPr>
              <w:t>对其他存款性公司债权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09"/>
              <w:spacing w:before="97" w:line="176" w:lineRule="auto"/>
              <w:rPr/>
            </w:pPr>
            <w:r>
              <w:rPr>
                <w:color w:val="231F20"/>
                <w:spacing w:val="-9"/>
              </w:rPr>
              <w:t>4383.87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3"/>
              <w:spacing w:before="97" w:line="176" w:lineRule="auto"/>
              <w:rPr/>
            </w:pPr>
            <w:r>
              <w:rPr>
                <w:color w:val="231F20"/>
                <w:spacing w:val="-9"/>
              </w:rPr>
              <w:t>4547.92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5153.02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5418.95</w:t>
            </w:r>
          </w:p>
        </w:tc>
      </w:tr>
      <w:tr>
        <w:trPr>
          <w:trHeight w:val="362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100" w:line="174" w:lineRule="auto"/>
              <w:rPr/>
            </w:pPr>
            <w:r>
              <w:rPr>
                <w:color w:val="231F20"/>
                <w:spacing w:val="-1"/>
              </w:rPr>
              <w:t>对其他金融性公司债权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3"/>
              <w:spacing w:before="96" w:line="177" w:lineRule="auto"/>
              <w:rPr/>
            </w:pPr>
            <w:r>
              <w:rPr>
                <w:color w:val="231F20"/>
                <w:spacing w:val="-10"/>
              </w:rPr>
              <w:t>5056.51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7"/>
              <w:spacing w:before="96" w:line="177" w:lineRule="auto"/>
              <w:rPr/>
            </w:pPr>
            <w:r>
              <w:rPr>
                <w:color w:val="231F20"/>
                <w:spacing w:val="-10"/>
              </w:rPr>
              <w:t>5338.76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96" w:line="177" w:lineRule="auto"/>
              <w:rPr/>
            </w:pPr>
            <w:r>
              <w:rPr>
                <w:color w:val="231F20"/>
                <w:spacing w:val="-10"/>
              </w:rPr>
              <w:t>5152.76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96" w:line="177" w:lineRule="auto"/>
              <w:rPr/>
            </w:pPr>
            <w:r>
              <w:rPr>
                <w:color w:val="231F20"/>
                <w:spacing w:val="-10"/>
              </w:rPr>
              <w:t>5392.74</w:t>
            </w:r>
          </w:p>
        </w:tc>
      </w:tr>
      <w:tr>
        <w:trPr>
          <w:trHeight w:val="360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101" w:line="172" w:lineRule="auto"/>
              <w:rPr/>
            </w:pPr>
            <w:r>
              <w:rPr>
                <w:color w:val="231F20"/>
                <w:spacing w:val="-1"/>
              </w:rPr>
              <w:t>对非金融性公司债权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637"/>
              <w:spacing w:before="97" w:line="175" w:lineRule="auto"/>
              <w:rPr/>
            </w:pPr>
            <w:r>
              <w:rPr>
                <w:color w:val="231F20"/>
                <w:spacing w:val="-11"/>
              </w:rPr>
              <w:t>13382.03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41"/>
              <w:spacing w:before="97" w:line="175" w:lineRule="auto"/>
              <w:rPr/>
            </w:pPr>
            <w:r>
              <w:rPr>
                <w:color w:val="231F20"/>
                <w:spacing w:val="-11"/>
              </w:rPr>
              <w:t>13109.03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41"/>
              <w:spacing w:before="97" w:line="175" w:lineRule="auto"/>
              <w:rPr/>
            </w:pPr>
            <w:r>
              <w:rPr>
                <w:color w:val="231F20"/>
                <w:spacing w:val="-11"/>
              </w:rPr>
              <w:t>13130.11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41"/>
              <w:spacing w:before="97" w:line="175" w:lineRule="auto"/>
              <w:rPr/>
            </w:pPr>
            <w:r>
              <w:rPr>
                <w:color w:val="231F20"/>
                <w:spacing w:val="-11"/>
              </w:rPr>
              <w:t>13815.97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101" w:line="173" w:lineRule="auto"/>
              <w:rPr/>
            </w:pPr>
            <w:r>
              <w:rPr>
                <w:color w:val="231F20"/>
                <w:spacing w:val="-1"/>
              </w:rPr>
              <w:t>对其他居民部门债权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27"/>
              <w:spacing w:before="98" w:line="175" w:lineRule="auto"/>
              <w:rPr/>
            </w:pPr>
            <w:r>
              <w:rPr>
                <w:color w:val="231F20"/>
                <w:spacing w:val="-11"/>
              </w:rPr>
              <w:t>1945.48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31"/>
              <w:spacing w:before="98" w:line="175" w:lineRule="auto"/>
              <w:rPr/>
            </w:pPr>
            <w:r>
              <w:rPr>
                <w:color w:val="231F20"/>
                <w:spacing w:val="-11"/>
              </w:rPr>
              <w:t>1832.85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30"/>
              <w:spacing w:before="98" w:line="175" w:lineRule="auto"/>
              <w:rPr/>
            </w:pPr>
            <w:r>
              <w:rPr>
                <w:color w:val="231F20"/>
                <w:spacing w:val="-11"/>
              </w:rPr>
              <w:t>1858.82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30"/>
              <w:spacing w:before="98" w:line="175" w:lineRule="auto"/>
              <w:rPr/>
            </w:pPr>
            <w:r>
              <w:rPr>
                <w:color w:val="231F20"/>
                <w:spacing w:val="-11"/>
              </w:rPr>
              <w:t>1904.58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102" w:line="172" w:lineRule="auto"/>
              <w:rPr/>
            </w:pPr>
            <w:r>
              <w:rPr>
                <w:color w:val="231F20"/>
                <w:spacing w:val="-1"/>
              </w:rPr>
              <w:t>其他资产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637"/>
              <w:spacing w:before="99" w:line="174" w:lineRule="auto"/>
              <w:rPr/>
            </w:pPr>
            <w:r>
              <w:rPr>
                <w:color w:val="231F20"/>
                <w:spacing w:val="-11"/>
              </w:rPr>
              <w:t>14480.46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41"/>
              <w:spacing w:before="99" w:line="174" w:lineRule="auto"/>
              <w:rPr/>
            </w:pPr>
            <w:r>
              <w:rPr>
                <w:color w:val="231F20"/>
                <w:spacing w:val="-11"/>
              </w:rPr>
              <w:t>14951.17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41"/>
              <w:spacing w:before="99" w:line="174" w:lineRule="auto"/>
              <w:rPr/>
            </w:pPr>
            <w:r>
              <w:rPr>
                <w:color w:val="231F20"/>
                <w:spacing w:val="-11"/>
              </w:rPr>
              <w:t>14576.33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41"/>
              <w:spacing w:before="99" w:line="174" w:lineRule="auto"/>
              <w:rPr/>
            </w:pPr>
            <w:r>
              <w:rPr>
                <w:color w:val="231F20"/>
                <w:spacing w:val="-11"/>
              </w:rPr>
              <w:t>14724.73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67"/>
              <w:spacing w:before="102" w:line="172" w:lineRule="auto"/>
              <w:rPr/>
            </w:pPr>
            <w:r>
              <w:rPr>
                <w:color w:val="231F20"/>
                <w:spacing w:val="-3"/>
              </w:rPr>
              <w:t>总资产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620"/>
              <w:spacing w:before="99" w:line="174" w:lineRule="auto"/>
              <w:rPr/>
            </w:pPr>
            <w:r>
              <w:rPr>
                <w:color w:val="231F20"/>
                <w:spacing w:val="-9"/>
              </w:rPr>
              <w:t>49884.55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27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50760.48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27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51130.64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27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52924.05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105" w:line="170" w:lineRule="auto"/>
              <w:rPr/>
            </w:pPr>
            <w:r>
              <w:rPr>
                <w:color w:val="231F20"/>
                <w:spacing w:val="-1"/>
              </w:rPr>
              <w:t>对非金融机构及住户负债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623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20294.47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27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21849.65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26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22471.51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26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24651.59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422"/>
              <w:spacing w:before="104" w:line="171" w:lineRule="auto"/>
              <w:rPr/>
            </w:pPr>
            <w:r>
              <w:rPr>
                <w:color w:val="231F20"/>
                <w:spacing w:val="-1"/>
              </w:rPr>
              <w:t>纳入广义货币的存款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637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14557.61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41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15703.54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41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16252.07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41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17477.70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599"/>
              <w:spacing w:before="105" w:line="170" w:lineRule="auto"/>
              <w:rPr/>
            </w:pPr>
            <w:r>
              <w:rPr>
                <w:color w:val="231F20"/>
                <w:spacing w:val="-1"/>
              </w:rPr>
              <w:t>单位活期存款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09"/>
              <w:spacing w:before="102" w:line="172" w:lineRule="auto"/>
              <w:rPr/>
            </w:pPr>
            <w:r>
              <w:rPr>
                <w:color w:val="231F20"/>
                <w:spacing w:val="-9"/>
              </w:rPr>
              <w:t>4920.24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7"/>
              <w:spacing w:before="102" w:line="172" w:lineRule="auto"/>
              <w:rPr/>
            </w:pPr>
            <w:r>
              <w:rPr>
                <w:color w:val="231F20"/>
                <w:spacing w:val="-10"/>
              </w:rPr>
              <w:t>5100.53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3"/>
              <w:spacing w:before="102" w:line="172" w:lineRule="auto"/>
              <w:rPr/>
            </w:pPr>
            <w:r>
              <w:rPr>
                <w:color w:val="231F20"/>
                <w:spacing w:val="-9"/>
              </w:rPr>
              <w:t>4806.12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2" w:line="172" w:lineRule="auto"/>
              <w:rPr/>
            </w:pPr>
            <w:r>
              <w:rPr>
                <w:color w:val="231F20"/>
                <w:spacing w:val="-10"/>
              </w:rPr>
              <w:t>6272.94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599"/>
              <w:spacing w:before="107" w:line="169" w:lineRule="auto"/>
              <w:rPr/>
            </w:pPr>
            <w:r>
              <w:rPr>
                <w:color w:val="231F20"/>
                <w:spacing w:val="-1"/>
              </w:rPr>
              <w:t>单位定期存款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1"/>
              <w:spacing w:before="102" w:line="172" w:lineRule="auto"/>
              <w:rPr/>
            </w:pPr>
            <w:r>
              <w:rPr>
                <w:color w:val="231F20"/>
                <w:spacing w:val="-9"/>
              </w:rPr>
              <w:t>7538.85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8"/>
              <w:spacing w:before="102" w:line="172" w:lineRule="auto"/>
              <w:rPr/>
            </w:pPr>
            <w:r>
              <w:rPr>
                <w:color w:val="231F20"/>
                <w:spacing w:val="-10"/>
              </w:rPr>
              <w:t>8424.33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2" w:line="172" w:lineRule="auto"/>
              <w:rPr/>
            </w:pPr>
            <w:r>
              <w:rPr>
                <w:color w:val="231F20"/>
                <w:spacing w:val="-9"/>
              </w:rPr>
              <w:t>9203.95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8"/>
              <w:spacing w:before="102" w:line="172" w:lineRule="auto"/>
              <w:rPr/>
            </w:pPr>
            <w:r>
              <w:rPr>
                <w:color w:val="231F20"/>
                <w:spacing w:val="-10"/>
              </w:rPr>
              <w:t>8867.38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598"/>
              <w:spacing w:before="107" w:line="169" w:lineRule="auto"/>
              <w:rPr/>
            </w:pPr>
            <w:r>
              <w:rPr>
                <w:color w:val="231F20"/>
                <w:spacing w:val="-1"/>
              </w:rPr>
              <w:t>个人存款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2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2098.53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2178.67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2242.00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2337.37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420"/>
              <w:spacing w:before="108" w:line="168" w:lineRule="auto"/>
              <w:rPr/>
            </w:pPr>
            <w:r>
              <w:rPr>
                <w:color w:val="231F20"/>
                <w:spacing w:val="-1"/>
              </w:rPr>
              <w:t>不纳入广义货币的存款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09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4223.21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3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4523.15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3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4574.93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3"/>
              <w:spacing w:before="104" w:line="171" w:lineRule="auto"/>
              <w:rPr/>
            </w:pPr>
            <w:r>
              <w:rPr>
                <w:color w:val="231F20"/>
                <w:spacing w:val="-9"/>
              </w:rPr>
              <w:t>4724.70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602"/>
              <w:spacing w:before="108" w:line="168" w:lineRule="auto"/>
              <w:rPr/>
            </w:pPr>
            <w:r>
              <w:rPr>
                <w:color w:val="231F20"/>
                <w:spacing w:val="-2"/>
              </w:rPr>
              <w:t>可转让存款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2"/>
              <w:spacing w:before="105" w:line="170" w:lineRule="auto"/>
              <w:rPr/>
            </w:pPr>
            <w:r>
              <w:rPr>
                <w:color w:val="231F20"/>
                <w:spacing w:val="-9"/>
              </w:rPr>
              <w:t>2006.39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5" w:line="170" w:lineRule="auto"/>
              <w:rPr/>
            </w:pPr>
            <w:r>
              <w:rPr>
                <w:color w:val="231F20"/>
                <w:spacing w:val="-9"/>
              </w:rPr>
              <w:t>2048.06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5" w:line="170" w:lineRule="auto"/>
              <w:rPr/>
            </w:pPr>
            <w:r>
              <w:rPr>
                <w:color w:val="231F20"/>
                <w:spacing w:val="-9"/>
              </w:rPr>
              <w:t>2104.92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5" w:line="170" w:lineRule="auto"/>
              <w:rPr/>
            </w:pPr>
            <w:r>
              <w:rPr>
                <w:color w:val="231F20"/>
                <w:spacing w:val="-9"/>
              </w:rPr>
              <w:t>2217.15</w:t>
            </w:r>
          </w:p>
        </w:tc>
      </w:tr>
      <w:tr>
        <w:trPr>
          <w:trHeight w:val="362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599"/>
              <w:spacing w:before="109" w:line="168" w:lineRule="auto"/>
              <w:rPr/>
            </w:pPr>
            <w:r>
              <w:rPr>
                <w:color w:val="231F20"/>
                <w:spacing w:val="-1"/>
              </w:rPr>
              <w:t>其他存款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2"/>
              <w:spacing w:before="106" w:line="170" w:lineRule="auto"/>
              <w:rPr/>
            </w:pPr>
            <w:r>
              <w:rPr>
                <w:color w:val="231F20"/>
                <w:spacing w:val="-9"/>
              </w:rPr>
              <w:t>2216.82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6" w:line="170" w:lineRule="auto"/>
              <w:rPr/>
            </w:pPr>
            <w:r>
              <w:rPr>
                <w:color w:val="231F20"/>
                <w:spacing w:val="-9"/>
              </w:rPr>
              <w:t>2475.09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6" w:line="170" w:lineRule="auto"/>
              <w:rPr/>
            </w:pPr>
            <w:r>
              <w:rPr>
                <w:color w:val="231F20"/>
                <w:spacing w:val="-9"/>
              </w:rPr>
              <w:t>2470.02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6" w:line="170" w:lineRule="auto"/>
              <w:rPr/>
            </w:pPr>
            <w:r>
              <w:rPr>
                <w:color w:val="231F20"/>
                <w:spacing w:val="-9"/>
              </w:rPr>
              <w:t>2507.54</w:t>
            </w:r>
          </w:p>
        </w:tc>
      </w:tr>
      <w:tr>
        <w:trPr>
          <w:trHeight w:val="362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419"/>
              <w:spacing w:before="109" w:line="168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27"/>
              <w:spacing w:before="105" w:line="171" w:lineRule="auto"/>
              <w:rPr/>
            </w:pPr>
            <w:r>
              <w:rPr>
                <w:color w:val="231F20"/>
                <w:spacing w:val="-11"/>
              </w:rPr>
              <w:t>1513.66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31"/>
              <w:spacing w:before="105" w:line="171" w:lineRule="auto"/>
              <w:rPr/>
            </w:pPr>
            <w:r>
              <w:rPr>
                <w:color w:val="231F20"/>
                <w:spacing w:val="-11"/>
              </w:rPr>
              <w:t>1622.96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30"/>
              <w:spacing w:before="105" w:line="171" w:lineRule="auto"/>
              <w:rPr/>
            </w:pPr>
            <w:r>
              <w:rPr>
                <w:color w:val="231F20"/>
                <w:spacing w:val="-11"/>
              </w:rPr>
              <w:t>1644.51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2449.19</w:t>
            </w:r>
          </w:p>
        </w:tc>
      </w:tr>
      <w:tr>
        <w:trPr>
          <w:trHeight w:val="360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110" w:line="166" w:lineRule="auto"/>
              <w:rPr/>
            </w:pPr>
            <w:r>
              <w:rPr>
                <w:color w:val="231F20"/>
                <w:spacing w:val="-1"/>
              </w:rPr>
              <w:t>对中央银行负债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99"/>
              <w:spacing w:before="106" w:line="169" w:lineRule="auto"/>
              <w:rPr/>
            </w:pPr>
            <w:r>
              <w:rPr>
                <w:color w:val="231F20"/>
                <w:spacing w:val="-9"/>
              </w:rPr>
              <w:t>439.04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505"/>
              <w:spacing w:before="106" w:line="169" w:lineRule="auto"/>
              <w:rPr/>
            </w:pPr>
            <w:r>
              <w:rPr>
                <w:color w:val="231F20"/>
                <w:spacing w:val="-9"/>
              </w:rPr>
              <w:t>223.85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508"/>
              <w:spacing w:before="106" w:line="169" w:lineRule="auto"/>
              <w:rPr/>
            </w:pPr>
            <w:r>
              <w:rPr>
                <w:color w:val="231F20"/>
                <w:spacing w:val="-10"/>
              </w:rPr>
              <w:t>368.79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06"/>
              <w:spacing w:before="106" w:line="169" w:lineRule="auto"/>
              <w:rPr/>
            </w:pPr>
            <w:r>
              <w:rPr>
                <w:color w:val="231F20"/>
                <w:spacing w:val="-9"/>
              </w:rPr>
              <w:t>602.07</w:t>
            </w:r>
          </w:p>
        </w:tc>
      </w:tr>
      <w:tr>
        <w:trPr>
          <w:trHeight w:val="362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111" w:line="167" w:lineRule="auto"/>
              <w:rPr/>
            </w:pPr>
            <w:r>
              <w:rPr>
                <w:color w:val="231F20"/>
                <w:spacing w:val="-1"/>
              </w:rPr>
              <w:t>对其他存款性公司负债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5"/>
              <w:spacing w:before="108" w:line="169" w:lineRule="auto"/>
              <w:rPr/>
            </w:pPr>
            <w:r>
              <w:rPr>
                <w:color w:val="231F20"/>
                <w:spacing w:val="-10"/>
              </w:rPr>
              <w:t>3130.63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2630.17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2284.03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2223.45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110" w:line="167" w:lineRule="auto"/>
              <w:rPr/>
            </w:pPr>
            <w:r>
              <w:rPr>
                <w:color w:val="231F20"/>
                <w:spacing w:val="-1"/>
              </w:rPr>
              <w:t>对其他金融性公司负债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2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2579.11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2200.81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2073.01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2309.04</w:t>
            </w:r>
          </w:p>
        </w:tc>
      </w:tr>
      <w:tr>
        <w:trPr>
          <w:trHeight w:val="362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419"/>
              <w:spacing w:before="111" w:line="167" w:lineRule="auto"/>
              <w:rPr/>
            </w:pPr>
            <w:r>
              <w:rPr>
                <w:color w:val="231F20"/>
                <w:spacing w:val="-1"/>
              </w:rPr>
              <w:t>其中：计入广义货币的存款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2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2426.08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2040.56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30"/>
              <w:spacing w:before="108" w:line="169" w:lineRule="auto"/>
              <w:rPr/>
            </w:pPr>
            <w:r>
              <w:rPr>
                <w:color w:val="231F20"/>
                <w:spacing w:val="-11"/>
              </w:rPr>
              <w:t>1914.79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2099.71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58"/>
              <w:spacing w:before="111" w:line="166" w:lineRule="auto"/>
              <w:rPr/>
            </w:pPr>
            <w:r>
              <w:rPr>
                <w:color w:val="231F20"/>
                <w:spacing w:val="-5"/>
              </w:rPr>
              <w:t>国外负债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5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3206.11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9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3150.65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9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3717.36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2921.50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40"/>
              <w:spacing w:before="112" w:line="165" w:lineRule="auto"/>
              <w:rPr/>
            </w:pPr>
            <w:r>
              <w:rPr>
                <w:color w:val="231F20"/>
                <w:spacing w:val="-1"/>
              </w:rPr>
              <w:t>债券发行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27"/>
              <w:spacing w:before="108" w:line="168" w:lineRule="auto"/>
              <w:rPr/>
            </w:pPr>
            <w:r>
              <w:rPr>
                <w:color w:val="231F20"/>
                <w:spacing w:val="-11"/>
              </w:rPr>
              <w:t>1164.11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31"/>
              <w:spacing w:before="108" w:line="168" w:lineRule="auto"/>
              <w:rPr/>
            </w:pPr>
            <w:r>
              <w:rPr>
                <w:color w:val="231F20"/>
                <w:spacing w:val="-11"/>
              </w:rPr>
              <w:t>1006.99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505"/>
              <w:spacing w:before="108" w:line="168" w:lineRule="auto"/>
              <w:rPr/>
            </w:pPr>
            <w:r>
              <w:rPr>
                <w:color w:val="231F20"/>
                <w:spacing w:val="-9"/>
              </w:rPr>
              <w:t>978.10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507"/>
              <w:spacing w:before="108" w:line="168" w:lineRule="auto"/>
              <w:rPr/>
            </w:pPr>
            <w:r>
              <w:rPr>
                <w:color w:val="231F20"/>
                <w:spacing w:val="-9"/>
              </w:rPr>
              <w:t>828.65</w:t>
            </w:r>
          </w:p>
        </w:tc>
      </w:tr>
      <w:tr>
        <w:trPr>
          <w:trHeight w:val="361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42"/>
              <w:spacing w:before="112" w:line="165" w:lineRule="auto"/>
              <w:rPr/>
            </w:pPr>
            <w:r>
              <w:rPr>
                <w:color w:val="231F20"/>
                <w:spacing w:val="-2"/>
              </w:rPr>
              <w:t>实收资本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712"/>
              <w:spacing w:before="108" w:line="168" w:lineRule="auto"/>
              <w:rPr/>
            </w:pPr>
            <w:r>
              <w:rPr>
                <w:color w:val="231F20"/>
                <w:spacing w:val="-9"/>
              </w:rPr>
              <w:t>2054.51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8" w:line="168" w:lineRule="auto"/>
              <w:rPr/>
            </w:pPr>
            <w:r>
              <w:rPr>
                <w:color w:val="231F20"/>
                <w:spacing w:val="-9"/>
              </w:rPr>
              <w:t>2053.70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416"/>
              <w:spacing w:before="108" w:line="168" w:lineRule="auto"/>
              <w:rPr/>
            </w:pPr>
            <w:r>
              <w:rPr>
                <w:color w:val="231F20"/>
                <w:spacing w:val="-9"/>
              </w:rPr>
              <w:t>2043.01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416"/>
              <w:spacing w:before="108" w:line="168" w:lineRule="auto"/>
              <w:rPr/>
            </w:pPr>
            <w:r>
              <w:rPr>
                <w:color w:val="231F20"/>
                <w:spacing w:val="-9"/>
              </w:rPr>
              <w:t>2046.06</w:t>
            </w:r>
          </w:p>
        </w:tc>
      </w:tr>
      <w:tr>
        <w:trPr>
          <w:trHeight w:val="362" w:hRule="atLeast"/>
        </w:trPr>
        <w:tc>
          <w:tcPr>
            <w:tcW w:w="3180" w:type="dxa"/>
            <w:vAlign w:val="top"/>
          </w:tcPr>
          <w:p>
            <w:pPr>
              <w:pStyle w:val="TableText"/>
              <w:ind w:left="239"/>
              <w:spacing w:before="112" w:line="166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23" w:type="dxa"/>
            <w:vAlign w:val="top"/>
          </w:tcPr>
          <w:p>
            <w:pPr>
              <w:pStyle w:val="TableText"/>
              <w:ind w:left="637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17016.57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41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17644.66</w:t>
            </w:r>
          </w:p>
        </w:tc>
        <w:tc>
          <w:tcPr>
            <w:tcW w:w="1327" w:type="dxa"/>
            <w:vAlign w:val="top"/>
          </w:tcPr>
          <w:p>
            <w:pPr>
              <w:pStyle w:val="TableText"/>
              <w:ind w:left="341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17194.81</w:t>
            </w:r>
          </w:p>
        </w:tc>
        <w:tc>
          <w:tcPr>
            <w:tcW w:w="1331" w:type="dxa"/>
            <w:vAlign w:val="top"/>
          </w:tcPr>
          <w:p>
            <w:pPr>
              <w:pStyle w:val="TableText"/>
              <w:ind w:left="341"/>
              <w:spacing w:before="109" w:line="168" w:lineRule="auto"/>
              <w:rPr/>
            </w:pPr>
            <w:r>
              <w:rPr>
                <w:color w:val="231F20"/>
                <w:spacing w:val="-11"/>
              </w:rPr>
              <w:t>17341.69</w:t>
            </w:r>
          </w:p>
        </w:tc>
      </w:tr>
      <w:tr>
        <w:trPr>
          <w:trHeight w:val="371" w:hRule="atLeast"/>
        </w:trPr>
        <w:tc>
          <w:tcPr>
            <w:tcW w:w="3180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7"/>
              <w:spacing w:before="114" w:line="171" w:lineRule="auto"/>
              <w:rPr/>
            </w:pPr>
            <w:r>
              <w:rPr>
                <w:color w:val="231F20"/>
                <w:spacing w:val="-3"/>
              </w:rPr>
              <w:t>总负债</w:t>
            </w:r>
          </w:p>
        </w:tc>
        <w:tc>
          <w:tcPr>
            <w:tcW w:w="1623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20"/>
              <w:spacing w:before="109" w:line="174" w:lineRule="auto"/>
              <w:rPr/>
            </w:pPr>
            <w:r>
              <w:rPr>
                <w:color w:val="231F20"/>
                <w:spacing w:val="-9"/>
              </w:rPr>
              <w:t>49884.55</w:t>
            </w:r>
          </w:p>
        </w:tc>
        <w:tc>
          <w:tcPr>
            <w:tcW w:w="1327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27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50760.48</w:t>
            </w:r>
          </w:p>
        </w:tc>
        <w:tc>
          <w:tcPr>
            <w:tcW w:w="1327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27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51130.64</w:t>
            </w:r>
          </w:p>
        </w:tc>
        <w:tc>
          <w:tcPr>
            <w:tcW w:w="133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27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52924.05</w:t>
            </w:r>
          </w:p>
        </w:tc>
      </w:tr>
    </w:tbl>
    <w:p>
      <w:pPr>
        <w:pStyle w:val="BodyText"/>
        <w:ind w:left="354"/>
        <w:spacing w:before="158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spacing w:line="198" w:lineRule="auto"/>
        <w:sectPr>
          <w:headerReference w:type="default" r:id="rId383"/>
          <w:pgSz w:w="11906" w:h="16158"/>
          <w:pgMar w:top="1367" w:right="1699" w:bottom="400" w:left="1417" w:header="1044" w:footer="0" w:gutter="0"/>
        </w:sectPr>
        <w:rPr>
          <w:sz w:val="18"/>
          <w:szCs w:val="18"/>
        </w:rPr>
      </w:pPr>
    </w:p>
    <w:p>
      <w:pPr>
        <w:pStyle w:val="BodyText"/>
        <w:spacing w:line="284" w:lineRule="auto"/>
        <w:rPr/>
      </w:pPr>
      <w:r/>
    </w:p>
    <w:p>
      <w:pPr>
        <w:pStyle w:val="BodyText"/>
        <w:ind w:left="429"/>
        <w:spacing w:before="102" w:line="196" w:lineRule="auto"/>
        <w:rPr/>
      </w:pPr>
      <w:r>
        <w:rPr>
          <w:color w:val="174B8B"/>
          <w:spacing w:val="-2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  <w:spacing w:val="-2"/>
        </w:rPr>
        <w:t>14</w:t>
      </w:r>
      <w:r>
        <w:rPr>
          <w:rFonts w:ascii="Times New Roman" w:hAnsi="Times New Roman" w:eastAsia="Times New Roman" w:cs="Times New Roman"/>
          <w:b/>
          <w:bCs/>
          <w:color w:val="174B8B"/>
          <w:spacing w:val="1"/>
        </w:rPr>
        <w:t xml:space="preserve">                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2"/>
        </w:rPr>
        <w:t>2024</w:t>
      </w:r>
      <w:r>
        <w:rPr>
          <w:color w:val="174B8B"/>
          <w:spacing w:val="-2"/>
        </w:rPr>
        <w:t>年农村信用社资产负债表</w:t>
      </w:r>
    </w:p>
    <w:p>
      <w:pPr>
        <w:pStyle w:val="BodyText"/>
        <w:ind w:left="3754"/>
        <w:spacing w:line="178" w:lineRule="auto"/>
        <w:rPr/>
      </w:pPr>
      <w:r>
        <w:rPr>
          <w:color w:val="231F20"/>
          <w:spacing w:val="3"/>
        </w:rPr>
        <w:t>（季末余额）</w:t>
      </w:r>
    </w:p>
    <w:p>
      <w:pPr>
        <w:pStyle w:val="BodyText"/>
        <w:ind w:left="7287"/>
        <w:spacing w:before="15" w:line="180" w:lineRule="auto"/>
        <w:rPr/>
      </w:pPr>
      <w:r>
        <w:rPr>
          <w:color w:val="231F20"/>
          <w:spacing w:val="-1"/>
        </w:rPr>
        <w:t>单位：亿元</w:t>
      </w:r>
    </w:p>
    <w:p>
      <w:pPr>
        <w:spacing w:line="35" w:lineRule="exact"/>
        <w:rPr/>
      </w:pPr>
      <w:r/>
    </w:p>
    <w:tbl>
      <w:tblPr>
        <w:tblStyle w:val="TableNormal"/>
        <w:tblW w:w="8775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194"/>
        <w:gridCol w:w="1642"/>
        <w:gridCol w:w="1315"/>
        <w:gridCol w:w="1315"/>
        <w:gridCol w:w="1309"/>
      </w:tblGrid>
      <w:tr>
        <w:trPr>
          <w:trHeight w:val="396" w:hRule="atLeast"/>
        </w:trPr>
        <w:tc>
          <w:tcPr>
            <w:tcW w:w="319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401"/>
              <w:spacing w:before="110" w:line="172" w:lineRule="auto"/>
              <w:rPr/>
            </w:pPr>
            <w:r>
              <w:drawing>
                <wp:anchor distT="0" distB="0" distL="0" distR="0" simplePos="0" relativeHeight="252699648" behindDoc="1" locked="0" layoutInCell="1" allowOverlap="1">
                  <wp:simplePos x="0" y="0"/>
                  <wp:positionH relativeFrom="column">
                    <wp:posOffset>-5</wp:posOffset>
                  </wp:positionH>
                  <wp:positionV relativeFrom="paragraph">
                    <wp:posOffset>-6215</wp:posOffset>
                  </wp:positionV>
                  <wp:extent cx="5572302" cy="7149592"/>
                  <wp:effectExtent l="0" t="0" r="0" b="0"/>
                  <wp:wrapNone/>
                  <wp:docPr id="742" name="IM 7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2" name="IM 742"/>
                          <pic:cNvPicPr/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572302" cy="714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164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20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第一季度</w:t>
            </w:r>
          </w:p>
        </w:tc>
        <w:tc>
          <w:tcPr>
            <w:tcW w:w="131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93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第二季度</w:t>
            </w:r>
          </w:p>
        </w:tc>
        <w:tc>
          <w:tcPr>
            <w:tcW w:w="131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93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第三季度</w:t>
            </w:r>
          </w:p>
        </w:tc>
        <w:tc>
          <w:tcPr>
            <w:tcW w:w="130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93"/>
              <w:spacing w:before="105" w:line="178" w:lineRule="auto"/>
              <w:rPr/>
            </w:pPr>
            <w:r>
              <w:rPr>
                <w:color w:val="231F20"/>
                <w:spacing w:val="-1"/>
              </w:rPr>
              <w:t>第四季度</w:t>
            </w:r>
          </w:p>
        </w:tc>
      </w:tr>
      <w:tr>
        <w:trPr>
          <w:trHeight w:val="350" w:hRule="atLeast"/>
        </w:trPr>
        <w:tc>
          <w:tcPr>
            <w:tcW w:w="319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8"/>
              <w:spacing w:before="84" w:line="177" w:lineRule="auto"/>
              <w:rPr/>
            </w:pPr>
            <w:r>
              <w:rPr>
                <w:color w:val="231F20"/>
                <w:spacing w:val="-5"/>
              </w:rPr>
              <w:t>国外资产</w:t>
            </w:r>
          </w:p>
        </w:tc>
        <w:tc>
          <w:tcPr>
            <w:tcW w:w="164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970"/>
              <w:spacing w:before="81" w:line="179" w:lineRule="auto"/>
              <w:rPr/>
            </w:pPr>
            <w:r>
              <w:rPr>
                <w:color w:val="231F20"/>
                <w:spacing w:val="-11"/>
              </w:rPr>
              <w:t>10.93</w:t>
            </w:r>
          </w:p>
        </w:tc>
        <w:tc>
          <w:tcPr>
            <w:tcW w:w="131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643"/>
              <w:spacing w:before="81" w:line="179" w:lineRule="auto"/>
              <w:rPr/>
            </w:pPr>
            <w:r>
              <w:rPr>
                <w:color w:val="231F20"/>
                <w:spacing w:val="-11"/>
              </w:rPr>
              <w:t>10.70</w:t>
            </w:r>
          </w:p>
        </w:tc>
        <w:tc>
          <w:tcPr>
            <w:tcW w:w="131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643"/>
              <w:spacing w:before="81" w:line="179" w:lineRule="auto"/>
              <w:rPr/>
            </w:pPr>
            <w:r>
              <w:rPr>
                <w:color w:val="231F20"/>
                <w:spacing w:val="-11"/>
              </w:rPr>
              <w:t>10.82</w:t>
            </w:r>
          </w:p>
        </w:tc>
        <w:tc>
          <w:tcPr>
            <w:tcW w:w="130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643"/>
              <w:spacing w:before="81" w:line="179" w:lineRule="auto"/>
              <w:rPr/>
            </w:pPr>
            <w:r>
              <w:rPr>
                <w:color w:val="231F20"/>
                <w:spacing w:val="-11"/>
              </w:rPr>
              <w:t>10.85</w:t>
            </w:r>
          </w:p>
        </w:tc>
      </w:tr>
      <w:tr>
        <w:trPr>
          <w:trHeight w:val="362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8"/>
              <w:spacing w:before="96" w:line="177" w:lineRule="auto"/>
              <w:rPr/>
            </w:pPr>
            <w:r>
              <w:rPr>
                <w:color w:val="231F20"/>
                <w:spacing w:val="-1"/>
              </w:rPr>
              <w:t>储备资产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78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5066.03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1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5564.07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1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5313.04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1"/>
              <w:spacing w:before="92" w:line="180" w:lineRule="auto"/>
              <w:rPr/>
            </w:pPr>
            <w:r>
              <w:rPr>
                <w:color w:val="231F20"/>
                <w:spacing w:val="-10"/>
              </w:rPr>
              <w:t>5915.45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423"/>
              <w:spacing w:before="95" w:line="177" w:lineRule="auto"/>
              <w:rPr/>
            </w:pPr>
            <w:r>
              <w:rPr>
                <w:color w:val="231F20"/>
                <w:spacing w:val="-2"/>
              </w:rPr>
              <w:t>准备金存款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74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4861.84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1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5393.62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1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5131.60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1"/>
              <w:spacing w:before="92" w:line="179" w:lineRule="auto"/>
              <w:rPr/>
            </w:pPr>
            <w:r>
              <w:rPr>
                <w:color w:val="231F20"/>
                <w:spacing w:val="-10"/>
              </w:rPr>
              <w:t>5753.92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420"/>
              <w:spacing w:before="97" w:line="176" w:lineRule="auto"/>
              <w:rPr/>
            </w:pPr>
            <w:r>
              <w:rPr>
                <w:color w:val="231F20"/>
                <w:spacing w:val="-1"/>
              </w:rPr>
              <w:t>库存现金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866"/>
              <w:spacing w:before="92" w:line="179" w:lineRule="auto"/>
              <w:rPr/>
            </w:pPr>
            <w:r>
              <w:rPr>
                <w:color w:val="231F20"/>
                <w:spacing w:val="-9"/>
              </w:rPr>
              <w:t>204.18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554"/>
              <w:spacing w:before="92" w:line="179" w:lineRule="auto"/>
              <w:rPr/>
            </w:pPr>
            <w:r>
              <w:rPr>
                <w:color w:val="231F20"/>
                <w:spacing w:val="-11"/>
              </w:rPr>
              <w:t>170.45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554"/>
              <w:spacing w:before="92" w:line="179" w:lineRule="auto"/>
              <w:rPr/>
            </w:pPr>
            <w:r>
              <w:rPr>
                <w:color w:val="231F20"/>
                <w:spacing w:val="-11"/>
              </w:rPr>
              <w:t>181.44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54"/>
              <w:spacing w:before="92" w:line="179" w:lineRule="auto"/>
              <w:rPr/>
            </w:pPr>
            <w:r>
              <w:rPr>
                <w:color w:val="231F20"/>
                <w:spacing w:val="-11"/>
              </w:rPr>
              <w:t>161.53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对政府债权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78"/>
              <w:spacing w:before="94" w:line="178" w:lineRule="auto"/>
              <w:rPr/>
            </w:pPr>
            <w:r>
              <w:rPr>
                <w:color w:val="231F20"/>
                <w:spacing w:val="-10"/>
              </w:rPr>
              <w:t>5077.67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1"/>
              <w:spacing w:before="94" w:line="178" w:lineRule="auto"/>
              <w:rPr/>
            </w:pPr>
            <w:r>
              <w:rPr>
                <w:color w:val="231F20"/>
                <w:spacing w:val="-10"/>
              </w:rPr>
              <w:t>5051.29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47"/>
              <w:spacing w:before="94" w:line="178" w:lineRule="auto"/>
              <w:rPr/>
            </w:pPr>
            <w:r>
              <w:rPr>
                <w:color w:val="231F20"/>
                <w:spacing w:val="-9"/>
              </w:rPr>
              <w:t>4914.32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1"/>
              <w:spacing w:before="94" w:line="178" w:lineRule="auto"/>
              <w:rPr/>
            </w:pPr>
            <w:r>
              <w:rPr>
                <w:color w:val="231F20"/>
                <w:spacing w:val="-10"/>
              </w:rPr>
              <w:t>5232.54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对中央银行债权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1044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717"/>
              <w:spacing w:before="94" w:line="178" w:lineRule="auto"/>
              <w:rPr/>
            </w:pPr>
            <w:r>
              <w:rPr>
                <w:color w:val="231F20"/>
                <w:spacing w:val="-8"/>
              </w:rPr>
              <w:t>0.00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98" w:line="175" w:lineRule="auto"/>
              <w:rPr/>
            </w:pPr>
            <w:r>
              <w:rPr>
                <w:color w:val="231F20"/>
                <w:spacing w:val="-1"/>
              </w:rPr>
              <w:t>对其他存款性公司债权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02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15538.01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75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15023.71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75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15147.17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76"/>
              <w:spacing w:before="95" w:line="177" w:lineRule="auto"/>
              <w:rPr/>
            </w:pPr>
            <w:r>
              <w:rPr>
                <w:color w:val="231F20"/>
                <w:spacing w:val="-11"/>
              </w:rPr>
              <w:t>14364.83</w:t>
            </w:r>
          </w:p>
        </w:tc>
      </w:tr>
      <w:tr>
        <w:trPr>
          <w:trHeight w:val="362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99" w:line="175" w:lineRule="auto"/>
              <w:rPr/>
            </w:pPr>
            <w:r>
              <w:rPr>
                <w:color w:val="231F20"/>
                <w:spacing w:val="-1"/>
              </w:rPr>
              <w:t>对其他金融性公司债权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92"/>
              <w:spacing w:before="96" w:line="177" w:lineRule="auto"/>
              <w:rPr/>
            </w:pPr>
            <w:r>
              <w:rPr>
                <w:color w:val="231F20"/>
                <w:spacing w:val="-11"/>
              </w:rPr>
              <w:t>1104.17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65"/>
              <w:spacing w:before="96" w:line="177" w:lineRule="auto"/>
              <w:rPr/>
            </w:pPr>
            <w:r>
              <w:rPr>
                <w:color w:val="231F20"/>
                <w:spacing w:val="-11"/>
              </w:rPr>
              <w:t>1180.58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65"/>
              <w:spacing w:before="96" w:line="177" w:lineRule="auto"/>
              <w:rPr/>
            </w:pPr>
            <w:r>
              <w:rPr>
                <w:color w:val="231F20"/>
                <w:spacing w:val="-11"/>
              </w:rPr>
              <w:t>1693.78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65"/>
              <w:spacing w:before="96" w:line="177" w:lineRule="auto"/>
              <w:rPr/>
            </w:pPr>
            <w:r>
              <w:rPr>
                <w:color w:val="231F20"/>
                <w:spacing w:val="-11"/>
              </w:rPr>
              <w:t>1007.55</w:t>
            </w:r>
          </w:p>
        </w:tc>
      </w:tr>
      <w:tr>
        <w:trPr>
          <w:trHeight w:val="360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100" w:line="173" w:lineRule="auto"/>
              <w:rPr/>
            </w:pPr>
            <w:r>
              <w:rPr>
                <w:color w:val="231F20"/>
                <w:spacing w:val="-1"/>
              </w:rPr>
              <w:t>对非金融性公司债权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02"/>
              <w:spacing w:before="96" w:line="176" w:lineRule="auto"/>
              <w:rPr/>
            </w:pPr>
            <w:r>
              <w:rPr>
                <w:color w:val="231F20"/>
                <w:spacing w:val="-11"/>
              </w:rPr>
              <w:t>12957.78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75"/>
              <w:spacing w:before="96" w:line="176" w:lineRule="auto"/>
              <w:rPr/>
            </w:pPr>
            <w:r>
              <w:rPr>
                <w:color w:val="231F20"/>
                <w:spacing w:val="-11"/>
              </w:rPr>
              <w:t>12985.12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75"/>
              <w:spacing w:before="96" w:line="176" w:lineRule="auto"/>
              <w:rPr/>
            </w:pPr>
            <w:r>
              <w:rPr>
                <w:color w:val="231F20"/>
                <w:spacing w:val="-11"/>
              </w:rPr>
              <w:t>12655.04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76"/>
              <w:spacing w:before="96" w:line="176" w:lineRule="auto"/>
              <w:rPr/>
            </w:pPr>
            <w:r>
              <w:rPr>
                <w:color w:val="231F20"/>
                <w:spacing w:val="-11"/>
              </w:rPr>
              <w:t>12924.36</w:t>
            </w:r>
          </w:p>
        </w:tc>
      </w:tr>
      <w:tr>
        <w:trPr>
          <w:trHeight w:val="362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100" w:line="174" w:lineRule="auto"/>
              <w:rPr/>
            </w:pPr>
            <w:r>
              <w:rPr>
                <w:color w:val="231F20"/>
                <w:spacing w:val="-1"/>
              </w:rPr>
              <w:t>对其他居民部门债权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02"/>
              <w:spacing w:before="98" w:line="176" w:lineRule="auto"/>
              <w:rPr/>
            </w:pPr>
            <w:r>
              <w:rPr>
                <w:color w:val="231F20"/>
                <w:spacing w:val="-11"/>
              </w:rPr>
              <w:t>13957.11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75"/>
              <w:spacing w:before="98" w:line="176" w:lineRule="auto"/>
              <w:rPr/>
            </w:pPr>
            <w:r>
              <w:rPr>
                <w:color w:val="231F20"/>
                <w:spacing w:val="-11"/>
              </w:rPr>
              <w:t>14153.11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75"/>
              <w:spacing w:before="98" w:line="176" w:lineRule="auto"/>
              <w:rPr/>
            </w:pPr>
            <w:r>
              <w:rPr>
                <w:color w:val="231F20"/>
                <w:spacing w:val="-11"/>
              </w:rPr>
              <w:t>13939.14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76"/>
              <w:spacing w:before="98" w:line="176" w:lineRule="auto"/>
              <w:rPr/>
            </w:pPr>
            <w:r>
              <w:rPr>
                <w:color w:val="231F20"/>
                <w:spacing w:val="-11"/>
              </w:rPr>
              <w:t>13819.52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101" w:line="173" w:lineRule="auto"/>
              <w:rPr/>
            </w:pPr>
            <w:r>
              <w:rPr>
                <w:color w:val="231F20"/>
                <w:spacing w:val="-1"/>
              </w:rPr>
              <w:t>其他资产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80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3459.13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3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3382.58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3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3230.05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3"/>
              <w:spacing w:before="97" w:line="176" w:lineRule="auto"/>
              <w:rPr/>
            </w:pPr>
            <w:r>
              <w:rPr>
                <w:color w:val="231F20"/>
                <w:spacing w:val="-10"/>
              </w:rPr>
              <w:t>3101.20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67"/>
              <w:spacing w:before="101" w:line="173" w:lineRule="auto"/>
              <w:rPr/>
            </w:pPr>
            <w:r>
              <w:rPr>
                <w:color w:val="231F20"/>
                <w:spacing w:val="-3"/>
              </w:rPr>
              <w:t>总资产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688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57170.82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61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57351.15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61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56903.36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62"/>
              <w:spacing w:before="98" w:line="175" w:lineRule="auto"/>
              <w:rPr/>
            </w:pPr>
            <w:r>
              <w:rPr>
                <w:color w:val="231F20"/>
                <w:spacing w:val="-10"/>
              </w:rPr>
              <w:t>56376.30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102" w:line="172" w:lineRule="auto"/>
              <w:rPr/>
            </w:pPr>
            <w:r>
              <w:rPr>
                <w:color w:val="231F20"/>
                <w:spacing w:val="-1"/>
              </w:rPr>
              <w:t>对非金融机构及住户负债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685"/>
              <w:spacing w:before="98" w:line="175" w:lineRule="auto"/>
              <w:rPr/>
            </w:pPr>
            <w:r>
              <w:rPr>
                <w:color w:val="231F20"/>
                <w:spacing w:val="-9"/>
              </w:rPr>
              <w:t>42374.81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58"/>
              <w:spacing w:before="98" w:line="175" w:lineRule="auto"/>
              <w:rPr/>
            </w:pPr>
            <w:r>
              <w:rPr>
                <w:color w:val="231F20"/>
                <w:spacing w:val="-9"/>
              </w:rPr>
              <w:t>42686.96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58"/>
              <w:spacing w:before="98" w:line="175" w:lineRule="auto"/>
              <w:rPr/>
            </w:pPr>
            <w:r>
              <w:rPr>
                <w:color w:val="231F20"/>
                <w:spacing w:val="-9"/>
              </w:rPr>
              <w:t>41832.88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58"/>
              <w:spacing w:before="98" w:line="175" w:lineRule="auto"/>
              <w:rPr/>
            </w:pPr>
            <w:r>
              <w:rPr>
                <w:color w:val="231F20"/>
                <w:spacing w:val="-9"/>
              </w:rPr>
              <w:t>42040.27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422"/>
              <w:spacing w:before="102" w:line="172" w:lineRule="auto"/>
              <w:rPr/>
            </w:pPr>
            <w:r>
              <w:rPr>
                <w:color w:val="231F20"/>
                <w:spacing w:val="-1"/>
              </w:rPr>
              <w:t>纳入广义货币的存款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685"/>
              <w:spacing w:before="99" w:line="174" w:lineRule="auto"/>
              <w:rPr/>
            </w:pPr>
            <w:r>
              <w:rPr>
                <w:color w:val="231F20"/>
                <w:spacing w:val="-9"/>
              </w:rPr>
              <w:t>42288.38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58"/>
              <w:spacing w:before="99" w:line="174" w:lineRule="auto"/>
              <w:rPr/>
            </w:pPr>
            <w:r>
              <w:rPr>
                <w:color w:val="231F20"/>
                <w:spacing w:val="-9"/>
              </w:rPr>
              <w:t>42613.90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58"/>
              <w:spacing w:before="99" w:line="174" w:lineRule="auto"/>
              <w:rPr/>
            </w:pPr>
            <w:r>
              <w:rPr>
                <w:color w:val="231F20"/>
                <w:spacing w:val="-9"/>
              </w:rPr>
              <w:t>41760.66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58"/>
              <w:spacing w:before="99" w:line="174" w:lineRule="auto"/>
              <w:rPr/>
            </w:pPr>
            <w:r>
              <w:rPr>
                <w:color w:val="231F20"/>
                <w:spacing w:val="-9"/>
              </w:rPr>
              <w:t>41908.49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599"/>
              <w:spacing w:before="104" w:line="171" w:lineRule="auto"/>
              <w:rPr/>
            </w:pPr>
            <w:r>
              <w:rPr>
                <w:color w:val="231F20"/>
                <w:spacing w:val="-1"/>
              </w:rPr>
              <w:t>单位活期存款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80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3614.06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3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3554.11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3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3326.85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3"/>
              <w:spacing w:before="99" w:line="174" w:lineRule="auto"/>
              <w:rPr/>
            </w:pPr>
            <w:r>
              <w:rPr>
                <w:color w:val="231F20"/>
                <w:spacing w:val="-10"/>
              </w:rPr>
              <w:t>3256.27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599"/>
              <w:spacing w:before="104" w:line="171" w:lineRule="auto"/>
              <w:rPr/>
            </w:pPr>
            <w:r>
              <w:rPr>
                <w:color w:val="231F20"/>
                <w:spacing w:val="-1"/>
              </w:rPr>
              <w:t>单位定期存款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92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1211.47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65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1269.44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65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1277.48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65"/>
              <w:spacing w:before="101" w:line="173" w:lineRule="auto"/>
              <w:rPr/>
            </w:pPr>
            <w:r>
              <w:rPr>
                <w:color w:val="231F20"/>
                <w:spacing w:val="-11"/>
              </w:rPr>
              <w:t>1222.79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598"/>
              <w:spacing w:before="105" w:line="170" w:lineRule="auto"/>
              <w:rPr/>
            </w:pPr>
            <w:r>
              <w:rPr>
                <w:color w:val="231F20"/>
                <w:spacing w:val="-1"/>
              </w:rPr>
              <w:t>个人存款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690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37462.84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64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37790.36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364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37156.33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364"/>
              <w:spacing w:before="101" w:line="173" w:lineRule="auto"/>
              <w:rPr/>
            </w:pPr>
            <w:r>
              <w:rPr>
                <w:color w:val="231F20"/>
                <w:spacing w:val="-10"/>
              </w:rPr>
              <w:t>37429.42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420"/>
              <w:spacing w:before="105" w:line="170" w:lineRule="auto"/>
              <w:rPr/>
            </w:pPr>
            <w:r>
              <w:rPr>
                <w:color w:val="231F20"/>
                <w:spacing w:val="-1"/>
              </w:rPr>
              <w:t>不纳入广义货币的存款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1044"/>
              <w:spacing w:before="102" w:line="172" w:lineRule="auto"/>
              <w:rPr/>
            </w:pPr>
            <w:r>
              <w:rPr>
                <w:color w:val="231F20"/>
                <w:spacing w:val="-8"/>
              </w:rPr>
              <w:t>0.22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102" w:line="172" w:lineRule="auto"/>
              <w:rPr/>
            </w:pPr>
            <w:r>
              <w:rPr>
                <w:color w:val="231F20"/>
                <w:spacing w:val="-8"/>
              </w:rPr>
              <w:t>0.34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102" w:line="172" w:lineRule="auto"/>
              <w:rPr/>
            </w:pPr>
            <w:r>
              <w:rPr>
                <w:color w:val="231F20"/>
                <w:spacing w:val="-8"/>
              </w:rPr>
              <w:t>0.34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717"/>
              <w:spacing w:before="102" w:line="172" w:lineRule="auto"/>
              <w:rPr/>
            </w:pPr>
            <w:r>
              <w:rPr>
                <w:color w:val="231F20"/>
                <w:spacing w:val="-8"/>
              </w:rPr>
              <w:t>0.46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602"/>
              <w:spacing w:before="107" w:line="169" w:lineRule="auto"/>
              <w:rPr/>
            </w:pPr>
            <w:r>
              <w:rPr>
                <w:color w:val="231F20"/>
                <w:spacing w:val="-2"/>
              </w:rPr>
              <w:t>可转让存款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1044"/>
              <w:spacing w:before="102" w:line="172" w:lineRule="auto"/>
              <w:rPr/>
            </w:pPr>
            <w:r>
              <w:rPr>
                <w:color w:val="231F20"/>
                <w:spacing w:val="-8"/>
              </w:rPr>
              <w:t>0.21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102" w:line="172" w:lineRule="auto"/>
              <w:rPr/>
            </w:pPr>
            <w:r>
              <w:rPr>
                <w:color w:val="231F20"/>
                <w:spacing w:val="-8"/>
              </w:rPr>
              <w:t>0.33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102" w:line="172" w:lineRule="auto"/>
              <w:rPr/>
            </w:pPr>
            <w:r>
              <w:rPr>
                <w:color w:val="231F20"/>
                <w:spacing w:val="-8"/>
              </w:rPr>
              <w:t>0.33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717"/>
              <w:spacing w:before="102" w:line="172" w:lineRule="auto"/>
              <w:rPr/>
            </w:pPr>
            <w:r>
              <w:rPr>
                <w:color w:val="231F20"/>
                <w:spacing w:val="-8"/>
              </w:rPr>
              <w:t>0.45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599"/>
              <w:spacing w:before="107" w:line="169" w:lineRule="auto"/>
              <w:rPr/>
            </w:pPr>
            <w:r>
              <w:rPr>
                <w:color w:val="231F20"/>
                <w:spacing w:val="-1"/>
              </w:rPr>
              <w:t>其他存款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1044"/>
              <w:spacing w:before="104" w:line="171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104" w:line="171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104" w:line="171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717"/>
              <w:spacing w:before="104" w:line="171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</w:tr>
      <w:tr>
        <w:trPr>
          <w:trHeight w:val="362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419"/>
              <w:spacing w:before="108" w:line="169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958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86.22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627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72.71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627"/>
              <w:spacing w:before="105" w:line="171" w:lineRule="auto"/>
              <w:rPr/>
            </w:pPr>
            <w:r>
              <w:rPr>
                <w:color w:val="231F20"/>
                <w:spacing w:val="-9"/>
              </w:rPr>
              <w:t>71.88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54"/>
              <w:spacing w:before="105" w:line="171" w:lineRule="auto"/>
              <w:rPr/>
            </w:pPr>
            <w:r>
              <w:rPr>
                <w:color w:val="231F20"/>
                <w:spacing w:val="-11"/>
              </w:rPr>
              <w:t>131.32</w:t>
            </w:r>
          </w:p>
        </w:tc>
      </w:tr>
      <w:tr>
        <w:trPr>
          <w:trHeight w:val="360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109" w:line="167" w:lineRule="auto"/>
              <w:rPr/>
            </w:pPr>
            <w:r>
              <w:rPr>
                <w:color w:val="231F20"/>
                <w:spacing w:val="-1"/>
              </w:rPr>
              <w:t>对中央银行负债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866"/>
              <w:spacing w:before="104" w:line="170" w:lineRule="auto"/>
              <w:rPr/>
            </w:pPr>
            <w:r>
              <w:rPr>
                <w:color w:val="231F20"/>
                <w:spacing w:val="-9"/>
              </w:rPr>
              <w:t>971.68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539"/>
              <w:spacing w:before="104" w:line="170" w:lineRule="auto"/>
              <w:rPr/>
            </w:pPr>
            <w:r>
              <w:rPr>
                <w:color w:val="231F20"/>
                <w:spacing w:val="-9"/>
              </w:rPr>
              <w:t>986.55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539"/>
              <w:spacing w:before="104" w:line="170" w:lineRule="auto"/>
              <w:rPr/>
            </w:pPr>
            <w:r>
              <w:rPr>
                <w:color w:val="231F20"/>
                <w:spacing w:val="-9"/>
              </w:rPr>
              <w:t>912.45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539"/>
              <w:spacing w:before="104" w:line="170" w:lineRule="auto"/>
              <w:rPr/>
            </w:pPr>
            <w:r>
              <w:rPr>
                <w:color w:val="231F20"/>
                <w:spacing w:val="-9"/>
              </w:rPr>
              <w:t>976.09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110" w:line="167" w:lineRule="auto"/>
              <w:rPr/>
            </w:pPr>
            <w:r>
              <w:rPr>
                <w:color w:val="231F20"/>
                <w:spacing w:val="-1"/>
              </w:rPr>
              <w:t>对其他存款性公司负债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78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6271.04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1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5998.15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1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6225.44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1"/>
              <w:spacing w:before="107" w:line="169" w:lineRule="auto"/>
              <w:rPr/>
            </w:pPr>
            <w:r>
              <w:rPr>
                <w:color w:val="231F20"/>
                <w:spacing w:val="-10"/>
              </w:rPr>
              <w:t>5612.59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110" w:line="167" w:lineRule="auto"/>
              <w:rPr/>
            </w:pPr>
            <w:r>
              <w:rPr>
                <w:color w:val="231F20"/>
                <w:spacing w:val="-1"/>
              </w:rPr>
              <w:t>对其他金融性公司负债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955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95.06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629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96.35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554"/>
              <w:spacing w:before="107" w:line="169" w:lineRule="auto"/>
              <w:rPr/>
            </w:pPr>
            <w:r>
              <w:rPr>
                <w:color w:val="231F20"/>
                <w:spacing w:val="-11"/>
              </w:rPr>
              <w:t>108.71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629"/>
              <w:spacing w:before="107" w:line="169" w:lineRule="auto"/>
              <w:rPr/>
            </w:pPr>
            <w:r>
              <w:rPr>
                <w:color w:val="231F20"/>
                <w:spacing w:val="-9"/>
              </w:rPr>
              <w:t>98.26</w:t>
            </w:r>
          </w:p>
        </w:tc>
      </w:tr>
      <w:tr>
        <w:trPr>
          <w:trHeight w:val="362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419"/>
              <w:spacing w:before="111" w:line="167" w:lineRule="auto"/>
              <w:rPr/>
            </w:pPr>
            <w:r>
              <w:rPr>
                <w:color w:val="231F20"/>
                <w:spacing w:val="-1"/>
              </w:rPr>
              <w:t>其中：计入广义货币的存款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955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95.06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629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96.35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629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95.00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629"/>
              <w:spacing w:before="108" w:line="169" w:lineRule="auto"/>
              <w:rPr/>
            </w:pPr>
            <w:r>
              <w:rPr>
                <w:color w:val="231F20"/>
                <w:spacing w:val="-9"/>
              </w:rPr>
              <w:t>91.22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58"/>
              <w:spacing w:before="111" w:line="166" w:lineRule="auto"/>
              <w:rPr/>
            </w:pPr>
            <w:r>
              <w:rPr>
                <w:color w:val="231F20"/>
                <w:spacing w:val="-5"/>
              </w:rPr>
              <w:t>国外负债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1044"/>
              <w:spacing w:before="107" w:line="169" w:lineRule="auto"/>
              <w:rPr/>
            </w:pPr>
            <w:r>
              <w:rPr>
                <w:color w:val="231F20"/>
                <w:spacing w:val="-8"/>
              </w:rPr>
              <w:t>0.35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107" w:line="169" w:lineRule="auto"/>
              <w:rPr/>
            </w:pPr>
            <w:r>
              <w:rPr>
                <w:color w:val="231F20"/>
                <w:spacing w:val="-8"/>
              </w:rPr>
              <w:t>0.33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717"/>
              <w:spacing w:before="107" w:line="169" w:lineRule="auto"/>
              <w:rPr/>
            </w:pPr>
            <w:r>
              <w:rPr>
                <w:color w:val="231F20"/>
                <w:spacing w:val="-8"/>
              </w:rPr>
              <w:t>0.33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717"/>
              <w:spacing w:before="107" w:line="169" w:lineRule="auto"/>
              <w:rPr/>
            </w:pPr>
            <w:r>
              <w:rPr>
                <w:color w:val="231F20"/>
                <w:spacing w:val="-8"/>
              </w:rPr>
              <w:t>0.29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40"/>
              <w:spacing w:before="112" w:line="165" w:lineRule="auto"/>
              <w:rPr/>
            </w:pPr>
            <w:r>
              <w:rPr>
                <w:color w:val="231F20"/>
                <w:spacing w:val="-1"/>
              </w:rPr>
              <w:t>债券发行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1045"/>
              <w:spacing w:before="108" w:line="168" w:lineRule="auto"/>
              <w:rPr/>
            </w:pPr>
            <w:r>
              <w:rPr>
                <w:color w:val="231F20"/>
                <w:spacing w:val="-8"/>
              </w:rPr>
              <w:t>6.18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643"/>
              <w:spacing w:before="108" w:line="168" w:lineRule="auto"/>
              <w:rPr/>
            </w:pPr>
            <w:r>
              <w:rPr>
                <w:color w:val="231F20"/>
                <w:spacing w:val="-11"/>
              </w:rPr>
              <w:t>12.42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643"/>
              <w:spacing w:before="108" w:line="168" w:lineRule="auto"/>
              <w:rPr/>
            </w:pPr>
            <w:r>
              <w:rPr>
                <w:color w:val="231F20"/>
                <w:spacing w:val="-11"/>
              </w:rPr>
              <w:t>17.36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718"/>
              <w:spacing w:before="108" w:line="168" w:lineRule="auto"/>
              <w:rPr/>
            </w:pPr>
            <w:r>
              <w:rPr>
                <w:color w:val="231F20"/>
                <w:spacing w:val="-8"/>
              </w:rPr>
              <w:t>9.36</w:t>
            </w:r>
          </w:p>
        </w:tc>
      </w:tr>
      <w:tr>
        <w:trPr>
          <w:trHeight w:val="361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42"/>
              <w:spacing w:before="112" w:line="165" w:lineRule="auto"/>
              <w:rPr/>
            </w:pPr>
            <w:r>
              <w:rPr>
                <w:color w:val="231F20"/>
                <w:spacing w:val="-2"/>
              </w:rPr>
              <w:t>实收资本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92"/>
              <w:spacing w:before="108" w:line="168" w:lineRule="auto"/>
              <w:rPr/>
            </w:pPr>
            <w:r>
              <w:rPr>
                <w:color w:val="231F20"/>
                <w:spacing w:val="-11"/>
              </w:rPr>
              <w:t>1337.77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65"/>
              <w:spacing w:before="108" w:line="168" w:lineRule="auto"/>
              <w:rPr/>
            </w:pPr>
            <w:r>
              <w:rPr>
                <w:color w:val="231F20"/>
                <w:spacing w:val="-11"/>
              </w:rPr>
              <w:t>1342.95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65"/>
              <w:spacing w:before="108" w:line="168" w:lineRule="auto"/>
              <w:rPr/>
            </w:pPr>
            <w:r>
              <w:rPr>
                <w:color w:val="231F20"/>
                <w:spacing w:val="-11"/>
              </w:rPr>
              <w:t>1317.41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65"/>
              <w:spacing w:before="108" w:line="168" w:lineRule="auto"/>
              <w:rPr/>
            </w:pPr>
            <w:r>
              <w:rPr>
                <w:color w:val="231F20"/>
                <w:spacing w:val="-11"/>
              </w:rPr>
              <w:t>1338.85</w:t>
            </w:r>
          </w:p>
        </w:tc>
      </w:tr>
      <w:tr>
        <w:trPr>
          <w:trHeight w:val="362" w:hRule="atLeast"/>
        </w:trPr>
        <w:tc>
          <w:tcPr>
            <w:tcW w:w="3194" w:type="dxa"/>
            <w:vAlign w:val="top"/>
          </w:tcPr>
          <w:p>
            <w:pPr>
              <w:pStyle w:val="TableText"/>
              <w:ind w:left="239"/>
              <w:spacing w:before="112" w:line="166" w:lineRule="auto"/>
              <w:rPr/>
            </w:pPr>
            <w:r>
              <w:rPr>
                <w:color w:val="231F20"/>
                <w:spacing w:val="-1"/>
              </w:rPr>
              <w:t>其他负债</w:t>
            </w:r>
          </w:p>
        </w:tc>
        <w:tc>
          <w:tcPr>
            <w:tcW w:w="1642" w:type="dxa"/>
            <w:vAlign w:val="top"/>
          </w:tcPr>
          <w:p>
            <w:pPr>
              <w:pStyle w:val="TableText"/>
              <w:ind w:left="778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6113.92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1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6227.43</w:t>
            </w:r>
          </w:p>
        </w:tc>
        <w:tc>
          <w:tcPr>
            <w:tcW w:w="1315" w:type="dxa"/>
            <w:vAlign w:val="top"/>
          </w:tcPr>
          <w:p>
            <w:pPr>
              <w:pStyle w:val="TableText"/>
              <w:ind w:left="451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6488.77</w:t>
            </w:r>
          </w:p>
        </w:tc>
        <w:tc>
          <w:tcPr>
            <w:tcW w:w="1309" w:type="dxa"/>
            <w:vAlign w:val="top"/>
          </w:tcPr>
          <w:p>
            <w:pPr>
              <w:pStyle w:val="TableText"/>
              <w:ind w:left="451"/>
              <w:spacing w:before="109" w:line="168" w:lineRule="auto"/>
              <w:rPr/>
            </w:pPr>
            <w:r>
              <w:rPr>
                <w:color w:val="231F20"/>
                <w:spacing w:val="-10"/>
              </w:rPr>
              <w:t>6300.59</w:t>
            </w:r>
          </w:p>
        </w:tc>
      </w:tr>
      <w:tr>
        <w:trPr>
          <w:trHeight w:val="371" w:hRule="atLeast"/>
        </w:trPr>
        <w:tc>
          <w:tcPr>
            <w:tcW w:w="319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7"/>
              <w:spacing w:before="114" w:line="171" w:lineRule="auto"/>
              <w:rPr/>
            </w:pPr>
            <w:r>
              <w:rPr>
                <w:color w:val="231F20"/>
                <w:spacing w:val="-3"/>
              </w:rPr>
              <w:t>总负债</w:t>
            </w:r>
          </w:p>
        </w:tc>
        <w:tc>
          <w:tcPr>
            <w:tcW w:w="164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88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57170.82</w:t>
            </w:r>
          </w:p>
        </w:tc>
        <w:tc>
          <w:tcPr>
            <w:tcW w:w="131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61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57351.15</w:t>
            </w:r>
          </w:p>
        </w:tc>
        <w:tc>
          <w:tcPr>
            <w:tcW w:w="131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61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56903.36</w:t>
            </w:r>
          </w:p>
        </w:tc>
        <w:tc>
          <w:tcPr>
            <w:tcW w:w="130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62"/>
              <w:spacing w:before="109" w:line="174" w:lineRule="auto"/>
              <w:rPr/>
            </w:pPr>
            <w:r>
              <w:rPr>
                <w:color w:val="231F20"/>
                <w:spacing w:val="-10"/>
              </w:rPr>
              <w:t>56376.30</w:t>
            </w:r>
          </w:p>
        </w:tc>
      </w:tr>
    </w:tbl>
    <w:p>
      <w:pPr>
        <w:pStyle w:val="BodyText"/>
        <w:ind w:left="354"/>
        <w:spacing w:before="158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spacing w:line="198" w:lineRule="auto"/>
        <w:sectPr>
          <w:headerReference w:type="default" r:id="rId385"/>
          <w:pgSz w:w="11906" w:h="16158"/>
          <w:pgMar w:top="1383" w:right="1417" w:bottom="400" w:left="1700" w:header="1060" w:footer="0" w:gutter="0"/>
        </w:sectPr>
        <w:rPr>
          <w:sz w:val="18"/>
          <w:szCs w:val="18"/>
        </w:rPr>
      </w:pPr>
    </w:p>
    <w:p>
      <w:pPr>
        <w:spacing w:before="159"/>
        <w:rPr/>
      </w:pPr>
      <w:r/>
    </w:p>
    <w:p>
      <w:pPr>
        <w:sectPr>
          <w:headerReference w:type="default" r:id="rId5"/>
          <w:pgSz w:w="16158" w:h="11906"/>
          <w:pgMar w:top="400" w:right="1077" w:bottom="400" w:left="1574" w:header="0" w:footer="0" w:gutter="0"/>
          <w:cols w:equalWidth="0" w:num="1">
            <w:col w:w="13507" w:space="0"/>
          </w:cols>
        </w:sectPr>
        <w:rPr/>
      </w:pPr>
    </w:p>
    <w:p>
      <w:pPr>
        <w:pStyle w:val="BodyText"/>
        <w:ind w:left="429"/>
        <w:spacing w:before="50" w:line="208" w:lineRule="auto"/>
        <w:rPr/>
      </w:pPr>
      <w:r>
        <w:rPr>
          <w:color w:val="174B8B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</w:rPr>
        <w:t>15 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                                                 </w:t>
      </w:r>
      <w:r>
        <w:rPr>
          <w:color w:val="174B8B"/>
          <w:spacing w:val="-1"/>
        </w:rPr>
        <w:t>证券市场概况统计表</w:t>
      </w:r>
    </w:p>
    <w:p>
      <w:pPr>
        <w:spacing w:line="67" w:lineRule="auto"/>
        <w:rPr>
          <w:rFonts w:ascii="Noto Sans CJK SC Regular"/>
          <w:sz w:val="2"/>
        </w:rPr>
      </w:pPr>
      <w:r>
        <w:rPr>
          <w:rFonts w:ascii="Noto Sans CJK SC Regular"/>
          <w:sz w:val="2"/>
        </w:rPr>
      </w:r>
    </w:p>
    <w:tbl>
      <w:tblPr>
        <w:tblStyle w:val="TableNormal"/>
        <w:tblW w:w="12583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3579"/>
        <w:gridCol w:w="1425"/>
        <w:gridCol w:w="1512"/>
        <w:gridCol w:w="1502"/>
        <w:gridCol w:w="1511"/>
        <w:gridCol w:w="1511"/>
        <w:gridCol w:w="1543"/>
      </w:tblGrid>
      <w:tr>
        <w:trPr>
          <w:trHeight w:val="283" w:hRule="atLeast"/>
        </w:trPr>
        <w:tc>
          <w:tcPr>
            <w:shd w:val="clear" w:fill="D4E5F5"/>
            <w:tcW w:w="357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402"/>
              <w:spacing w:before="50" w:line="222" w:lineRule="exact"/>
              <w:rPr/>
            </w:pPr>
            <w:r>
              <w:rPr>
                <w:color w:val="231F20"/>
                <w:spacing w:val="-3"/>
              </w:rPr>
              <w:t>年</w:t>
            </w:r>
            <w:r>
              <w:rPr>
                <w:color w:val="231F20"/>
              </w:rPr>
              <w:t xml:space="preserve">         </w:t>
            </w:r>
            <w:r>
              <w:rPr>
                <w:color w:val="231F20"/>
                <w:spacing w:val="-3"/>
              </w:rPr>
              <w:t>份</w:t>
            </w:r>
          </w:p>
        </w:tc>
        <w:tc>
          <w:tcPr>
            <w:tcW w:w="142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517"/>
              <w:spacing w:before="46" w:line="157" w:lineRule="auto"/>
              <w:rPr/>
            </w:pPr>
            <w:r>
              <w:rPr>
                <w:color w:val="231F20"/>
                <w:spacing w:val="-9"/>
              </w:rPr>
              <w:t>2019</w:t>
            </w:r>
          </w:p>
        </w:tc>
        <w:tc>
          <w:tcPr>
            <w:shd w:val="clear" w:fill="D4E5F5"/>
            <w:tcW w:w="151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04"/>
              <w:spacing w:before="46" w:line="157" w:lineRule="auto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150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03"/>
              <w:spacing w:before="46" w:line="157" w:lineRule="auto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shd w:val="clear" w:fill="D4E5F5"/>
            <w:tcW w:w="151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13"/>
              <w:spacing w:before="46" w:line="157" w:lineRule="auto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151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13"/>
              <w:spacing w:before="46" w:line="157" w:lineRule="auto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shd w:val="clear" w:fill="D4E5F5"/>
            <w:tcW w:w="1543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13"/>
              <w:spacing w:before="46" w:line="157" w:lineRule="auto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</w:tr>
      <w:tr>
        <w:trPr>
          <w:trHeight w:val="246" w:hRule="atLeast"/>
        </w:trPr>
        <w:tc>
          <w:tcPr>
            <w:shd w:val="clear" w:fill="D4E5F5"/>
            <w:tcW w:w="357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6"/>
              <w:spacing w:before="18" w:line="217" w:lineRule="exact"/>
              <w:rPr/>
            </w:pPr>
            <w:r>
              <w:rPr>
                <w:color w:val="231F20"/>
                <w:spacing w:val="-1"/>
                <w:position w:val="1"/>
              </w:rPr>
              <w:t>沪深股市上市公司数（A、B股）(家）</w:t>
            </w:r>
          </w:p>
        </w:tc>
        <w:tc>
          <w:tcPr>
            <w:tcW w:w="142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644"/>
              <w:spacing w:before="29" w:line="206" w:lineRule="exact"/>
              <w:rPr/>
            </w:pPr>
            <w:r>
              <w:rPr>
                <w:color w:val="231F20"/>
                <w:spacing w:val="-10"/>
              </w:rPr>
              <w:t>3777</w:t>
            </w:r>
          </w:p>
        </w:tc>
        <w:tc>
          <w:tcPr>
            <w:shd w:val="clear" w:fill="D4E5F5"/>
            <w:tcW w:w="151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25"/>
              <w:spacing w:before="29" w:line="206" w:lineRule="exact"/>
              <w:rPr/>
            </w:pPr>
            <w:r>
              <w:rPr>
                <w:color w:val="231F20"/>
                <w:spacing w:val="-9"/>
              </w:rPr>
              <w:t>4154</w:t>
            </w:r>
          </w:p>
        </w:tc>
        <w:tc>
          <w:tcPr>
            <w:tcW w:w="150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24"/>
              <w:spacing w:before="29" w:line="206" w:lineRule="exact"/>
              <w:rPr/>
            </w:pPr>
            <w:r>
              <w:rPr>
                <w:color w:val="231F20"/>
                <w:spacing w:val="-9"/>
              </w:rPr>
              <w:t>4615</w:t>
            </w:r>
          </w:p>
        </w:tc>
        <w:tc>
          <w:tcPr>
            <w:shd w:val="clear" w:fill="D4E5F5"/>
            <w:tcW w:w="151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33"/>
              <w:spacing w:before="29" w:line="206" w:lineRule="exact"/>
              <w:rPr/>
            </w:pPr>
            <w:r>
              <w:rPr>
                <w:color w:val="231F20"/>
                <w:spacing w:val="-9"/>
              </w:rPr>
              <w:t>4917</w:t>
            </w:r>
          </w:p>
        </w:tc>
        <w:tc>
          <w:tcPr>
            <w:tcW w:w="151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37"/>
              <w:spacing w:before="29" w:line="206" w:lineRule="exact"/>
              <w:rPr/>
            </w:pPr>
            <w:r>
              <w:rPr>
                <w:color w:val="231F20"/>
                <w:spacing w:val="-10"/>
              </w:rPr>
              <w:t>5107</w:t>
            </w:r>
          </w:p>
        </w:tc>
        <w:tc>
          <w:tcPr>
            <w:shd w:val="clear" w:fill="D4E5F5"/>
            <w:tcW w:w="1543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38"/>
              <w:spacing w:before="29" w:line="206" w:lineRule="exact"/>
              <w:rPr/>
            </w:pPr>
            <w:r>
              <w:rPr>
                <w:color w:val="231F20"/>
                <w:spacing w:val="-10"/>
              </w:rPr>
              <w:t>5130</w:t>
            </w:r>
          </w:p>
        </w:tc>
      </w:tr>
      <w:tr>
        <w:trPr>
          <w:trHeight w:val="248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6"/>
              <w:spacing w:before="31" w:line="206" w:lineRule="exact"/>
              <w:rPr/>
            </w:pPr>
            <w:r>
              <w:rPr>
                <w:color w:val="231F20"/>
                <w:spacing w:val="-2"/>
              </w:rPr>
              <w:t>沪深股市上市外资股（B股）(家）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819"/>
              <w:spacing w:before="31" w:line="206" w:lineRule="exact"/>
              <w:rPr/>
            </w:pPr>
            <w:r>
              <w:rPr>
                <w:color w:val="231F20"/>
                <w:spacing w:val="-7"/>
              </w:rPr>
              <w:t>97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06"/>
              <w:spacing w:before="31" w:line="206" w:lineRule="exact"/>
              <w:rPr/>
            </w:pPr>
            <w:r>
              <w:rPr>
                <w:color w:val="231F20"/>
                <w:spacing w:val="-7"/>
              </w:rPr>
              <w:t>93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905"/>
              <w:spacing w:before="31" w:line="206" w:lineRule="exact"/>
              <w:rPr/>
            </w:pPr>
            <w:r>
              <w:rPr>
                <w:color w:val="231F20"/>
                <w:spacing w:val="-7"/>
              </w:rPr>
              <w:t>90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917"/>
              <w:spacing w:before="31" w:line="206" w:lineRule="exact"/>
              <w:rPr/>
            </w:pPr>
            <w:r>
              <w:rPr>
                <w:color w:val="231F20"/>
                <w:spacing w:val="-8"/>
              </w:rPr>
              <w:t>86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917"/>
              <w:spacing w:before="31" w:line="206" w:lineRule="exact"/>
              <w:rPr/>
            </w:pPr>
            <w:r>
              <w:rPr>
                <w:color w:val="231F20"/>
                <w:spacing w:val="-8"/>
              </w:rPr>
              <w:t>85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918"/>
              <w:spacing w:before="31" w:line="206" w:lineRule="exact"/>
              <w:rPr/>
            </w:pPr>
            <w:r>
              <w:rPr>
                <w:color w:val="231F20"/>
                <w:spacing w:val="-8"/>
              </w:rPr>
              <w:t>82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/>
              <w:spacing w:before="20" w:line="205" w:lineRule="exact"/>
              <w:rPr/>
            </w:pPr>
            <w:r>
              <w:rPr>
                <w:color w:val="231F20"/>
                <w:spacing w:val="-1"/>
              </w:rPr>
              <w:t>北交所市场上市公司数(家）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903"/>
              <w:spacing w:before="126" w:line="99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89"/>
              <w:spacing w:before="126" w:line="99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907"/>
              <w:spacing w:before="20" w:line="205" w:lineRule="exact"/>
              <w:rPr/>
            </w:pPr>
            <w:r>
              <w:rPr>
                <w:color w:val="231F20"/>
                <w:spacing w:val="-8"/>
              </w:rPr>
              <w:t>82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840"/>
              <w:spacing w:before="20" w:line="205" w:lineRule="exact"/>
              <w:rPr/>
            </w:pPr>
            <w:r>
              <w:rPr>
                <w:color w:val="231F20"/>
                <w:spacing w:val="-12"/>
              </w:rPr>
              <w:t>162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826"/>
              <w:spacing w:before="20" w:line="205" w:lineRule="exact"/>
              <w:rPr/>
            </w:pPr>
            <w:r>
              <w:rPr>
                <w:color w:val="231F20"/>
                <w:spacing w:val="-9"/>
              </w:rPr>
              <w:t>239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826"/>
              <w:spacing w:before="20" w:line="205" w:lineRule="exact"/>
              <w:rPr/>
            </w:pPr>
            <w:r>
              <w:rPr>
                <w:color w:val="231F20"/>
                <w:spacing w:val="-9"/>
              </w:rPr>
              <w:t>262</w:t>
            </w:r>
          </w:p>
        </w:tc>
      </w:tr>
      <w:tr>
        <w:trPr>
          <w:trHeight w:val="235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/>
              <w:spacing w:before="20" w:line="205" w:lineRule="exact"/>
              <w:rPr/>
            </w:pPr>
            <w:r>
              <w:rPr>
                <w:color w:val="231F20"/>
                <w:spacing w:val="-1"/>
              </w:rPr>
              <w:t>境外上市公司数（H股）(家）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730"/>
              <w:spacing w:before="20" w:line="205" w:lineRule="exact"/>
              <w:rPr/>
            </w:pPr>
            <w:r>
              <w:rPr>
                <w:color w:val="231F20"/>
                <w:spacing w:val="-9"/>
              </w:rPr>
              <w:t>294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817"/>
              <w:spacing w:before="20" w:line="205" w:lineRule="exact"/>
              <w:rPr/>
            </w:pPr>
            <w:r>
              <w:rPr>
                <w:color w:val="231F20"/>
                <w:spacing w:val="-9"/>
              </w:rPr>
              <w:t>291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819"/>
              <w:spacing w:before="20" w:line="205" w:lineRule="exact"/>
              <w:rPr/>
            </w:pPr>
            <w:r>
              <w:rPr>
                <w:color w:val="231F20"/>
                <w:spacing w:val="-9"/>
              </w:rPr>
              <w:t>323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828"/>
              <w:spacing w:before="20" w:line="205" w:lineRule="exact"/>
              <w:rPr/>
            </w:pPr>
            <w:r>
              <w:rPr>
                <w:color w:val="231F20"/>
                <w:spacing w:val="-9"/>
              </w:rPr>
              <w:t>316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829"/>
              <w:spacing w:before="20" w:line="205" w:lineRule="exact"/>
              <w:rPr/>
            </w:pPr>
            <w:r>
              <w:rPr>
                <w:color w:val="231F20"/>
                <w:spacing w:val="-9"/>
              </w:rPr>
              <w:t>339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829"/>
              <w:spacing w:before="20" w:line="205" w:lineRule="exact"/>
              <w:rPr/>
            </w:pPr>
            <w:r>
              <w:rPr>
                <w:color w:val="231F20"/>
                <w:spacing w:val="-9"/>
              </w:rPr>
              <w:t>362</w:t>
            </w:r>
          </w:p>
        </w:tc>
      </w:tr>
      <w:tr>
        <w:trPr>
          <w:trHeight w:val="228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6"/>
              <w:spacing w:before="24" w:line="193" w:lineRule="exact"/>
              <w:rPr/>
            </w:pPr>
            <w:r>
              <w:rPr>
                <w:color w:val="231F20"/>
                <w:spacing w:val="-1"/>
                <w:position w:val="-1"/>
              </w:rPr>
              <w:t>沪深股市总发行股本（亿股）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52"/>
              <w:spacing w:before="22" w:line="195" w:lineRule="exact"/>
              <w:rPr/>
            </w:pPr>
            <w:r>
              <w:rPr>
                <w:color w:val="231F20"/>
                <w:spacing w:val="-10"/>
                <w:position w:val="-1"/>
              </w:rPr>
              <w:t>61740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639"/>
              <w:spacing w:before="22" w:line="195" w:lineRule="exact"/>
              <w:rPr/>
            </w:pPr>
            <w:r>
              <w:rPr>
                <w:color w:val="231F20"/>
                <w:spacing w:val="-10"/>
                <w:position w:val="-1"/>
              </w:rPr>
              <w:t>65526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636"/>
              <w:spacing w:before="22" w:line="195" w:lineRule="exact"/>
              <w:rPr/>
            </w:pPr>
            <w:r>
              <w:rPr>
                <w:color w:val="231F20"/>
                <w:spacing w:val="-10"/>
                <w:position w:val="-1"/>
              </w:rPr>
              <w:t>70694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646"/>
              <w:spacing w:before="22" w:line="195" w:lineRule="exact"/>
              <w:rPr/>
            </w:pPr>
            <w:r>
              <w:rPr>
                <w:color w:val="231F20"/>
                <w:spacing w:val="-10"/>
                <w:position w:val="-1"/>
              </w:rPr>
              <w:t>73312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646"/>
              <w:spacing w:before="22" w:line="195" w:lineRule="exact"/>
              <w:rPr/>
            </w:pPr>
            <w:r>
              <w:rPr>
                <w:color w:val="231F20"/>
                <w:spacing w:val="-10"/>
                <w:position w:val="-1"/>
              </w:rPr>
              <w:t>75489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646"/>
              <w:spacing w:before="22" w:line="195" w:lineRule="exact"/>
              <w:rPr/>
            </w:pPr>
            <w:r>
              <w:rPr>
                <w:color w:val="231F20"/>
                <w:spacing w:val="-10"/>
                <w:position w:val="-1"/>
              </w:rPr>
              <w:t>75696</w:t>
            </w:r>
          </w:p>
        </w:tc>
      </w:tr>
      <w:tr>
        <w:trPr>
          <w:trHeight w:val="244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91"/>
              <w:spacing w:before="31" w:line="203" w:lineRule="exact"/>
              <w:rPr/>
            </w:pPr>
            <w:r>
              <w:rPr>
                <w:color w:val="231F20"/>
                <w:spacing w:val="-1"/>
              </w:rPr>
              <w:t>其中：流通股本(亿股）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52"/>
              <w:spacing w:before="31" w:line="203" w:lineRule="exact"/>
              <w:rPr/>
            </w:pPr>
            <w:r>
              <w:rPr>
                <w:color w:val="231F20"/>
                <w:spacing w:val="-10"/>
                <w:position w:val="-1"/>
              </w:rPr>
              <w:t>52488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639"/>
              <w:spacing w:before="31" w:line="203" w:lineRule="exact"/>
              <w:rPr/>
            </w:pPr>
            <w:r>
              <w:rPr>
                <w:color w:val="231F20"/>
                <w:spacing w:val="-10"/>
                <w:position w:val="-1"/>
              </w:rPr>
              <w:t>56375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638"/>
              <w:spacing w:before="31" w:line="203" w:lineRule="exact"/>
              <w:rPr/>
            </w:pPr>
            <w:r>
              <w:rPr>
                <w:color w:val="231F20"/>
                <w:spacing w:val="-10"/>
                <w:position w:val="-1"/>
              </w:rPr>
              <w:t>60755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648"/>
              <w:spacing w:before="31" w:line="203" w:lineRule="exact"/>
              <w:rPr/>
            </w:pPr>
            <w:r>
              <w:rPr>
                <w:color w:val="231F20"/>
                <w:spacing w:val="-10"/>
                <w:position w:val="-1"/>
              </w:rPr>
              <w:t>64245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648"/>
              <w:spacing w:before="31" w:line="203" w:lineRule="exact"/>
              <w:rPr/>
            </w:pPr>
            <w:r>
              <w:rPr>
                <w:color w:val="231F20"/>
                <w:spacing w:val="-10"/>
                <w:position w:val="-1"/>
              </w:rPr>
              <w:t>68142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648"/>
              <w:spacing w:before="31" w:line="203" w:lineRule="exact"/>
              <w:rPr/>
            </w:pPr>
            <w:r>
              <w:rPr>
                <w:color w:val="231F20"/>
                <w:spacing w:val="-10"/>
                <w:position w:val="-1"/>
              </w:rPr>
              <w:t>69905</w:t>
            </w:r>
          </w:p>
        </w:tc>
      </w:tr>
      <w:tr>
        <w:trPr>
          <w:trHeight w:val="228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/>
              <w:spacing w:before="25" w:line="192" w:lineRule="exact"/>
              <w:rPr/>
            </w:pPr>
            <w:r>
              <w:rPr>
                <w:color w:val="231F20"/>
                <w:position w:val="-1"/>
              </w:rPr>
              <w:t>北交所市场总发行股本（亿股）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903"/>
              <w:spacing w:before="129" w:line="88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89"/>
              <w:spacing w:before="129" w:line="88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831"/>
              <w:spacing w:before="23" w:line="194" w:lineRule="exact"/>
              <w:rPr/>
            </w:pPr>
            <w:r>
              <w:rPr>
                <w:color w:val="231F20"/>
                <w:spacing w:val="-12"/>
                <w:position w:val="-1"/>
              </w:rPr>
              <w:t>123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825"/>
              <w:spacing w:before="23" w:line="194" w:lineRule="exact"/>
              <w:rPr/>
            </w:pPr>
            <w:r>
              <w:rPr>
                <w:color w:val="231F20"/>
                <w:spacing w:val="-9"/>
                <w:position w:val="-1"/>
              </w:rPr>
              <w:t>214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829"/>
              <w:spacing w:before="23" w:line="194" w:lineRule="exact"/>
              <w:rPr/>
            </w:pPr>
            <w:r>
              <w:rPr>
                <w:color w:val="231F20"/>
                <w:spacing w:val="-9"/>
                <w:position w:val="-1"/>
              </w:rPr>
              <w:t>318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829"/>
              <w:spacing w:before="23" w:line="194" w:lineRule="exact"/>
              <w:rPr/>
            </w:pPr>
            <w:r>
              <w:rPr>
                <w:color w:val="231F20"/>
                <w:spacing w:val="-9"/>
                <w:position w:val="-1"/>
              </w:rPr>
              <w:t>352</w:t>
            </w:r>
          </w:p>
        </w:tc>
      </w:tr>
      <w:tr>
        <w:trPr>
          <w:trHeight w:val="244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91"/>
              <w:spacing w:before="32" w:line="202" w:lineRule="exact"/>
              <w:rPr/>
            </w:pPr>
            <w:r>
              <w:rPr>
                <w:color w:val="231F20"/>
                <w:spacing w:val="-1"/>
              </w:rPr>
              <w:t>其中：流通股本(亿股）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903"/>
              <w:spacing w:before="138" w:line="96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89"/>
              <w:spacing w:before="138" w:line="96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906"/>
              <w:spacing w:before="32" w:line="202" w:lineRule="exact"/>
              <w:rPr/>
            </w:pPr>
            <w:r>
              <w:rPr>
                <w:color w:val="231F20"/>
                <w:spacing w:val="-7"/>
              </w:rPr>
              <w:t>57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840"/>
              <w:spacing w:before="32" w:line="202" w:lineRule="exact"/>
              <w:rPr/>
            </w:pPr>
            <w:r>
              <w:rPr>
                <w:color w:val="231F20"/>
                <w:spacing w:val="-12"/>
                <w:position w:val="-1"/>
              </w:rPr>
              <w:t>111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841"/>
              <w:spacing w:before="32" w:line="202" w:lineRule="exact"/>
              <w:rPr/>
            </w:pPr>
            <w:r>
              <w:rPr>
                <w:color w:val="231F20"/>
                <w:spacing w:val="-12"/>
                <w:position w:val="-1"/>
              </w:rPr>
              <w:t>169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826"/>
              <w:spacing w:before="32" w:line="202" w:lineRule="exact"/>
              <w:rPr/>
            </w:pPr>
            <w:r>
              <w:rPr>
                <w:color w:val="231F20"/>
                <w:spacing w:val="-9"/>
                <w:position w:val="-1"/>
              </w:rPr>
              <w:t>215</w:t>
            </w:r>
          </w:p>
        </w:tc>
      </w:tr>
      <w:tr>
        <w:trPr>
          <w:trHeight w:val="228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6"/>
              <w:spacing w:before="27" w:line="190" w:lineRule="exact"/>
              <w:rPr/>
            </w:pPr>
            <w:r>
              <w:rPr>
                <w:color w:val="231F20"/>
                <w:spacing w:val="-1"/>
                <w:position w:val="-1"/>
              </w:rPr>
              <w:t>沪深股市股票市价总值（亿元）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463"/>
              <w:spacing w:before="25" w:line="192" w:lineRule="exact"/>
              <w:rPr/>
            </w:pPr>
            <w:r>
              <w:rPr>
                <w:color w:val="231F20"/>
                <w:spacing w:val="-10"/>
                <w:position w:val="-1"/>
              </w:rPr>
              <w:t>593075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47"/>
              <w:spacing w:before="25" w:line="192" w:lineRule="exact"/>
              <w:rPr/>
            </w:pPr>
            <w:r>
              <w:rPr>
                <w:color w:val="231F20"/>
                <w:spacing w:val="-10"/>
                <w:position w:val="-1"/>
              </w:rPr>
              <w:t>796487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48"/>
              <w:spacing w:before="25" w:line="192" w:lineRule="exact"/>
              <w:rPr/>
            </w:pPr>
            <w:r>
              <w:rPr>
                <w:color w:val="231F20"/>
                <w:spacing w:val="-10"/>
                <w:position w:val="-1"/>
              </w:rPr>
              <w:t>916088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56"/>
              <w:spacing w:before="25" w:line="192" w:lineRule="exact"/>
              <w:rPr/>
            </w:pPr>
            <w:r>
              <w:rPr>
                <w:color w:val="231F20"/>
                <w:spacing w:val="-10"/>
                <w:position w:val="-1"/>
              </w:rPr>
              <w:t>788006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557"/>
              <w:spacing w:before="25" w:line="192" w:lineRule="exact"/>
              <w:rPr/>
            </w:pPr>
            <w:r>
              <w:rPr>
                <w:color w:val="231F20"/>
                <w:spacing w:val="-10"/>
                <w:position w:val="-1"/>
              </w:rPr>
              <w:t>773131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561"/>
              <w:spacing w:before="25" w:line="192" w:lineRule="exact"/>
              <w:rPr/>
            </w:pPr>
            <w:r>
              <w:rPr>
                <w:color w:val="231F20"/>
                <w:spacing w:val="-10"/>
                <w:position w:val="-1"/>
              </w:rPr>
              <w:t>854720</w:t>
            </w:r>
          </w:p>
        </w:tc>
      </w:tr>
      <w:tr>
        <w:trPr>
          <w:trHeight w:val="242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91"/>
              <w:spacing w:before="35" w:line="197" w:lineRule="exact"/>
              <w:rPr/>
            </w:pPr>
            <w:r>
              <w:rPr>
                <w:color w:val="231F20"/>
                <w:position w:val="-1"/>
              </w:rPr>
              <w:t>其中：股票流通市值（亿元）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460"/>
              <w:spacing w:before="39" w:line="193" w:lineRule="exact"/>
              <w:rPr/>
            </w:pPr>
            <w:r>
              <w:rPr>
                <w:color w:val="231F20"/>
                <w:spacing w:val="-10"/>
                <w:position w:val="-1"/>
              </w:rPr>
              <w:t>483327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49"/>
              <w:spacing w:before="39" w:line="193" w:lineRule="exact"/>
              <w:rPr/>
            </w:pPr>
            <w:r>
              <w:rPr>
                <w:color w:val="231F20"/>
                <w:spacing w:val="-10"/>
                <w:position w:val="-1"/>
              </w:rPr>
              <w:t>643096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47"/>
              <w:spacing w:before="39" w:line="193" w:lineRule="exact"/>
              <w:rPr/>
            </w:pPr>
            <w:r>
              <w:rPr>
                <w:color w:val="231F20"/>
                <w:spacing w:val="-10"/>
                <w:position w:val="-1"/>
              </w:rPr>
              <w:t>751556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58"/>
              <w:spacing w:before="39" w:line="193" w:lineRule="exact"/>
              <w:rPr/>
            </w:pPr>
            <w:r>
              <w:rPr>
                <w:color w:val="231F20"/>
                <w:spacing w:val="-10"/>
                <w:position w:val="-1"/>
              </w:rPr>
              <w:t>663429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559"/>
              <w:spacing w:before="39" w:line="193" w:lineRule="exact"/>
              <w:rPr/>
            </w:pPr>
            <w:r>
              <w:rPr>
                <w:color w:val="231F20"/>
                <w:spacing w:val="-10"/>
                <w:position w:val="-1"/>
              </w:rPr>
              <w:t>674342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557"/>
              <w:spacing w:before="39" w:line="193" w:lineRule="exact"/>
              <w:rPr/>
            </w:pPr>
            <w:r>
              <w:rPr>
                <w:color w:val="231F20"/>
                <w:spacing w:val="-10"/>
                <w:position w:val="-1"/>
              </w:rPr>
              <w:t>773919</w:t>
            </w:r>
          </w:p>
        </w:tc>
      </w:tr>
      <w:tr>
        <w:trPr>
          <w:trHeight w:val="242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/>
              <w:spacing w:before="41" w:line="191" w:lineRule="exact"/>
              <w:rPr/>
            </w:pPr>
            <w:r>
              <w:rPr>
                <w:color w:val="231F20"/>
                <w:position w:val="-1"/>
              </w:rPr>
              <w:t>北交所市场股票市价总值（亿元）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903"/>
              <w:spacing w:before="146" w:line="86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89"/>
              <w:spacing w:before="146" w:line="86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727"/>
              <w:spacing w:before="40" w:line="192" w:lineRule="exact"/>
              <w:rPr/>
            </w:pPr>
            <w:r>
              <w:rPr>
                <w:color w:val="231F20"/>
                <w:spacing w:val="-9"/>
                <w:position w:val="-1"/>
              </w:rPr>
              <w:t>2723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736"/>
              <w:spacing w:before="40" w:line="192" w:lineRule="exact"/>
              <w:rPr/>
            </w:pPr>
            <w:r>
              <w:rPr>
                <w:color w:val="231F20"/>
                <w:spacing w:val="-9"/>
                <w:position w:val="-1"/>
              </w:rPr>
              <w:t>2110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734"/>
              <w:spacing w:before="40" w:line="192" w:lineRule="exact"/>
              <w:rPr/>
            </w:pPr>
            <w:r>
              <w:rPr>
                <w:color w:val="231F20"/>
                <w:spacing w:val="-9"/>
                <w:position w:val="-1"/>
              </w:rPr>
              <w:t>4496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738"/>
              <w:spacing w:before="40" w:line="192" w:lineRule="exact"/>
              <w:rPr/>
            </w:pPr>
            <w:r>
              <w:rPr>
                <w:color w:val="231F20"/>
                <w:spacing w:val="-10"/>
                <w:position w:val="-1"/>
              </w:rPr>
              <w:t>5386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91"/>
              <w:spacing w:before="36" w:line="189" w:lineRule="exact"/>
              <w:rPr/>
            </w:pPr>
            <w:r>
              <w:rPr>
                <w:color w:val="231F20"/>
                <w:position w:val="-1"/>
              </w:rPr>
              <w:t>其中：股票流通市值（亿元）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903"/>
              <w:spacing w:before="140" w:line="85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89"/>
              <w:spacing w:before="140" w:line="85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742"/>
              <w:spacing w:before="34" w:line="191" w:lineRule="exact"/>
              <w:rPr/>
            </w:pPr>
            <w:r>
              <w:rPr>
                <w:color w:val="231F20"/>
                <w:spacing w:val="-12"/>
                <w:position w:val="-1"/>
              </w:rPr>
              <w:t>1074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751"/>
              <w:spacing w:before="34" w:line="191" w:lineRule="exact"/>
              <w:rPr/>
            </w:pPr>
            <w:r>
              <w:rPr>
                <w:color w:val="231F20"/>
                <w:spacing w:val="-12"/>
                <w:position w:val="-1"/>
              </w:rPr>
              <w:t>1148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737"/>
              <w:spacing w:before="34" w:line="191" w:lineRule="exact"/>
              <w:rPr/>
            </w:pPr>
            <w:r>
              <w:rPr>
                <w:color w:val="231F20"/>
                <w:spacing w:val="-9"/>
                <w:position w:val="-1"/>
              </w:rPr>
              <w:t>2263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740"/>
              <w:spacing w:before="34" w:line="191" w:lineRule="exact"/>
              <w:rPr/>
            </w:pPr>
            <w:r>
              <w:rPr>
                <w:color w:val="231F20"/>
                <w:spacing w:val="-10"/>
                <w:position w:val="-1"/>
              </w:rPr>
              <w:t>3206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6"/>
              <w:spacing w:before="37" w:line="188" w:lineRule="exact"/>
              <w:rPr/>
            </w:pPr>
            <w:r>
              <w:rPr>
                <w:color w:val="231F20"/>
                <w:spacing w:val="-1"/>
                <w:position w:val="-1"/>
              </w:rPr>
              <w:t>沪深股市股票交易量（亿股）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477"/>
              <w:spacing w:before="35" w:line="190" w:lineRule="exact"/>
              <w:rPr/>
            </w:pPr>
            <w:r>
              <w:rPr>
                <w:color w:val="231F20"/>
                <w:spacing w:val="-12"/>
                <w:position w:val="-1"/>
              </w:rPr>
              <w:t>126624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63"/>
              <w:spacing w:before="35" w:line="190" w:lineRule="exact"/>
              <w:rPr/>
            </w:pPr>
            <w:r>
              <w:rPr>
                <w:color w:val="231F20"/>
                <w:spacing w:val="-12"/>
                <w:position w:val="-1"/>
              </w:rPr>
              <w:t>167452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63"/>
              <w:spacing w:before="35" w:line="190" w:lineRule="exact"/>
              <w:rPr/>
            </w:pPr>
            <w:r>
              <w:rPr>
                <w:color w:val="231F20"/>
                <w:spacing w:val="-12"/>
                <w:position w:val="-1"/>
              </w:rPr>
              <w:t>187426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72"/>
              <w:spacing w:before="35" w:line="190" w:lineRule="exact"/>
              <w:rPr/>
            </w:pPr>
            <w:r>
              <w:rPr>
                <w:color w:val="231F20"/>
                <w:spacing w:val="-12"/>
                <w:position w:val="-1"/>
              </w:rPr>
              <w:t>185725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573"/>
              <w:spacing w:before="35" w:line="190" w:lineRule="exact"/>
              <w:rPr/>
            </w:pPr>
            <w:r>
              <w:rPr>
                <w:color w:val="231F20"/>
                <w:spacing w:val="-12"/>
                <w:position w:val="-1"/>
              </w:rPr>
              <w:t>170809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558"/>
              <w:spacing w:before="35" w:line="190" w:lineRule="exact"/>
              <w:rPr/>
            </w:pPr>
            <w:r>
              <w:rPr>
                <w:color w:val="231F20"/>
                <w:spacing w:val="-10"/>
                <w:position w:val="-1"/>
              </w:rPr>
              <w:t>235458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/>
              <w:spacing w:before="37" w:line="188" w:lineRule="exact"/>
              <w:rPr/>
            </w:pPr>
            <w:r>
              <w:rPr>
                <w:color w:val="231F20"/>
                <w:position w:val="-1"/>
              </w:rPr>
              <w:t>北交所市场股票交易量（亿股）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903"/>
              <w:spacing w:before="142" w:line="83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89"/>
              <w:spacing w:before="142" w:line="83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908"/>
              <w:spacing w:before="36" w:line="189" w:lineRule="exact"/>
              <w:rPr/>
            </w:pPr>
            <w:r>
              <w:rPr>
                <w:color w:val="231F20"/>
                <w:spacing w:val="-8"/>
                <w:position w:val="-1"/>
              </w:rPr>
              <w:t>37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840"/>
              <w:spacing w:before="36" w:line="189" w:lineRule="exact"/>
              <w:rPr/>
            </w:pPr>
            <w:r>
              <w:rPr>
                <w:color w:val="231F20"/>
                <w:spacing w:val="-12"/>
                <w:position w:val="-1"/>
              </w:rPr>
              <w:t>159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827"/>
              <w:spacing w:before="36" w:line="189" w:lineRule="exact"/>
              <w:rPr/>
            </w:pPr>
            <w:r>
              <w:rPr>
                <w:color w:val="231F20"/>
                <w:spacing w:val="-9"/>
                <w:position w:val="-1"/>
              </w:rPr>
              <w:t>615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737"/>
              <w:spacing w:before="36" w:line="189" w:lineRule="exact"/>
              <w:rPr/>
            </w:pPr>
            <w:r>
              <w:rPr>
                <w:color w:val="231F20"/>
                <w:spacing w:val="-9"/>
                <w:position w:val="-1"/>
              </w:rPr>
              <w:t>2002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6"/>
              <w:spacing w:before="38" w:line="187" w:lineRule="exact"/>
              <w:rPr/>
            </w:pPr>
            <w:r>
              <w:rPr>
                <w:color w:val="231F20"/>
                <w:spacing w:val="-1"/>
                <w:position w:val="-1"/>
              </w:rPr>
              <w:t>沪深股市股票成交金额（亿元）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388"/>
              <w:spacing w:before="36" w:line="189" w:lineRule="exact"/>
              <w:rPr/>
            </w:pPr>
            <w:r>
              <w:rPr>
                <w:color w:val="231F20"/>
                <w:spacing w:val="-12"/>
                <w:position w:val="-1"/>
              </w:rPr>
              <w:t>1274159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459"/>
              <w:spacing w:before="36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2068253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459"/>
              <w:spacing w:before="36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2579734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468"/>
              <w:spacing w:before="36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2245095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469"/>
              <w:spacing w:before="36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2122110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469"/>
              <w:spacing w:before="36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2547856</w:t>
            </w:r>
          </w:p>
        </w:tc>
      </w:tr>
      <w:tr>
        <w:trPr>
          <w:trHeight w:val="237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/>
              <w:spacing w:before="39" w:line="188" w:lineRule="exact"/>
              <w:rPr/>
            </w:pPr>
            <w:r>
              <w:rPr>
                <w:color w:val="231F20"/>
                <w:position w:val="-1"/>
              </w:rPr>
              <w:t>北交所股票成交金额（亿元）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903"/>
              <w:spacing w:before="143" w:line="84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89"/>
              <w:spacing w:before="143" w:line="84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817"/>
              <w:spacing w:before="37" w:line="190" w:lineRule="exact"/>
              <w:rPr/>
            </w:pPr>
            <w:r>
              <w:rPr>
                <w:color w:val="231F20"/>
                <w:spacing w:val="-9"/>
                <w:position w:val="-1"/>
              </w:rPr>
              <w:t>667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751"/>
              <w:spacing w:before="37" w:line="190" w:lineRule="exact"/>
              <w:rPr/>
            </w:pPr>
            <w:r>
              <w:rPr>
                <w:color w:val="231F20"/>
                <w:spacing w:val="-12"/>
                <w:position w:val="-1"/>
              </w:rPr>
              <w:t>1980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735"/>
              <w:spacing w:before="37" w:line="190" w:lineRule="exact"/>
              <w:rPr/>
            </w:pPr>
            <w:r>
              <w:rPr>
                <w:color w:val="231F20"/>
                <w:spacing w:val="-9"/>
                <w:position w:val="-1"/>
              </w:rPr>
              <w:t>7272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648"/>
              <w:spacing w:before="37" w:line="190" w:lineRule="exact"/>
              <w:rPr/>
            </w:pPr>
            <w:r>
              <w:rPr>
                <w:color w:val="231F20"/>
                <w:spacing w:val="-10"/>
                <w:position w:val="-1"/>
              </w:rPr>
              <w:t>29736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2"/>
              <w:spacing w:before="40" w:line="185" w:lineRule="exact"/>
              <w:rPr/>
            </w:pPr>
            <w:r>
              <w:rPr>
                <w:color w:val="231F20"/>
                <w:position w:val="-1"/>
              </w:rPr>
              <w:t>上证综合指数（收盘）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421"/>
              <w:spacing w:before="37" w:line="188" w:lineRule="exact"/>
              <w:rPr/>
            </w:pPr>
            <w:r>
              <w:rPr>
                <w:color w:val="231F20"/>
                <w:spacing w:val="-10"/>
                <w:position w:val="-1"/>
              </w:rPr>
              <w:t>3050.12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07"/>
              <w:spacing w:before="37" w:line="188" w:lineRule="exact"/>
              <w:rPr/>
            </w:pPr>
            <w:r>
              <w:rPr>
                <w:color w:val="231F20"/>
                <w:spacing w:val="-10"/>
                <w:position w:val="-1"/>
              </w:rPr>
              <w:t>3473.07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07"/>
              <w:spacing w:before="37" w:line="188" w:lineRule="exact"/>
              <w:rPr/>
            </w:pPr>
            <w:r>
              <w:rPr>
                <w:color w:val="231F20"/>
                <w:spacing w:val="-10"/>
                <w:position w:val="-1"/>
              </w:rPr>
              <w:t>3639.78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16"/>
              <w:spacing w:before="37" w:line="188" w:lineRule="exact"/>
              <w:rPr/>
            </w:pPr>
            <w:r>
              <w:rPr>
                <w:color w:val="231F20"/>
                <w:spacing w:val="-10"/>
                <w:position w:val="-1"/>
              </w:rPr>
              <w:t>3089.26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737"/>
              <w:spacing w:before="37" w:line="188" w:lineRule="exact"/>
              <w:rPr/>
            </w:pPr>
            <w:r>
              <w:rPr>
                <w:color w:val="231F20"/>
                <w:spacing w:val="-9"/>
                <w:position w:val="-1"/>
              </w:rPr>
              <w:t>2975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740"/>
              <w:spacing w:before="37" w:line="188" w:lineRule="exact"/>
              <w:rPr/>
            </w:pPr>
            <w:r>
              <w:rPr>
                <w:color w:val="231F20"/>
                <w:spacing w:val="-10"/>
                <w:position w:val="-1"/>
              </w:rPr>
              <w:t>3352</w:t>
            </w:r>
          </w:p>
        </w:tc>
      </w:tr>
      <w:tr>
        <w:trPr>
          <w:trHeight w:val="245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3"/>
              <w:spacing w:before="37" w:line="198" w:lineRule="exact"/>
              <w:rPr/>
            </w:pPr>
            <w:r>
              <w:rPr>
                <w:color w:val="231F20"/>
                <w:spacing w:val="-2"/>
              </w:rPr>
              <w:t>深证综合指数</w:t>
            </w:r>
            <w:r>
              <w:rPr>
                <w:color w:val="231F20"/>
                <w:spacing w:val="17"/>
                <w:w w:val="102"/>
              </w:rPr>
              <w:t xml:space="preserve"> </w:t>
            </w:r>
            <w:r>
              <w:rPr>
                <w:color w:val="231F20"/>
                <w:spacing w:val="-2"/>
              </w:rPr>
              <w:t>(收盘）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433"/>
              <w:spacing w:before="37" w:line="198" w:lineRule="exact"/>
              <w:rPr/>
            </w:pPr>
            <w:r>
              <w:rPr>
                <w:color w:val="231F20"/>
                <w:spacing w:val="-11"/>
                <w:position w:val="-1"/>
              </w:rPr>
              <w:t>1722.95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04"/>
              <w:spacing w:before="37" w:line="198" w:lineRule="exact"/>
              <w:rPr/>
            </w:pPr>
            <w:r>
              <w:rPr>
                <w:color w:val="231F20"/>
                <w:spacing w:val="-9"/>
                <w:position w:val="-1"/>
              </w:rPr>
              <w:t>2329.37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04"/>
              <w:spacing w:before="37" w:line="198" w:lineRule="exact"/>
              <w:rPr/>
            </w:pPr>
            <w:r>
              <w:rPr>
                <w:color w:val="231F20"/>
                <w:spacing w:val="-9"/>
                <w:position w:val="-1"/>
              </w:rPr>
              <w:t>2530.14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28"/>
              <w:spacing w:before="37" w:line="198" w:lineRule="exact"/>
              <w:rPr/>
            </w:pPr>
            <w:r>
              <w:rPr>
                <w:color w:val="231F20"/>
                <w:spacing w:val="-11"/>
                <w:position w:val="-1"/>
              </w:rPr>
              <w:t>1975.61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751"/>
              <w:spacing w:before="37" w:line="198" w:lineRule="exact"/>
              <w:rPr/>
            </w:pPr>
            <w:r>
              <w:rPr>
                <w:color w:val="231F20"/>
                <w:spacing w:val="-12"/>
                <w:position w:val="-1"/>
              </w:rPr>
              <w:t>1838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752"/>
              <w:spacing w:before="37" w:line="198" w:lineRule="exact"/>
              <w:rPr/>
            </w:pPr>
            <w:r>
              <w:rPr>
                <w:color w:val="231F20"/>
                <w:spacing w:val="-12"/>
                <w:position w:val="-1"/>
              </w:rPr>
              <w:t>1957</w:t>
            </w:r>
          </w:p>
        </w:tc>
      </w:tr>
      <w:tr>
        <w:trPr>
          <w:trHeight w:val="46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 w:right="1922"/>
              <w:spacing w:before="32" w:line="212" w:lineRule="exact"/>
              <w:rPr/>
            </w:pPr>
            <w:r>
              <w:rPr>
                <w:color w:val="231F20"/>
                <w:position w:val="1"/>
              </w:rPr>
              <w:t>期末投资者数（万）</w:t>
            </w:r>
            <w:r>
              <w:rPr>
                <w:color w:val="231F20"/>
                <w:spacing w:val="3"/>
                <w:position w:val="1"/>
              </w:rPr>
              <w:t xml:space="preserve"> </w:t>
            </w:r>
            <w:r>
              <w:rPr>
                <w:color w:val="231F20"/>
                <w:spacing w:val="-1"/>
                <w:position w:val="-1"/>
              </w:rPr>
              <w:t>平均市盈率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343"/>
              <w:spacing w:before="29" w:line="209" w:lineRule="auto"/>
              <w:rPr/>
            </w:pPr>
            <w:r>
              <w:rPr>
                <w:color w:val="231F20"/>
                <w:spacing w:val="-11"/>
              </w:rPr>
              <w:t>15975.24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430"/>
              <w:spacing w:before="29" w:line="209" w:lineRule="auto"/>
              <w:rPr/>
            </w:pPr>
            <w:r>
              <w:rPr>
                <w:color w:val="231F20"/>
                <w:spacing w:val="-11"/>
              </w:rPr>
              <w:t>17777.49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429"/>
              <w:spacing w:before="29" w:line="209" w:lineRule="auto"/>
              <w:rPr/>
            </w:pPr>
            <w:r>
              <w:rPr>
                <w:color w:val="231F20"/>
                <w:spacing w:val="-11"/>
              </w:rPr>
              <w:t>19740.85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424"/>
              <w:spacing w:before="29" w:line="209" w:lineRule="auto"/>
              <w:rPr/>
            </w:pPr>
            <w:r>
              <w:rPr>
                <w:color w:val="231F20"/>
                <w:spacing w:val="-10"/>
              </w:rPr>
              <w:t>21213.62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424"/>
              <w:spacing w:before="29" w:line="209" w:lineRule="auto"/>
              <w:rPr/>
            </w:pPr>
            <w:r>
              <w:rPr>
                <w:color w:val="231F20"/>
                <w:spacing w:val="-10"/>
              </w:rPr>
              <w:t>22406.06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425"/>
              <w:spacing w:before="29" w:line="209" w:lineRule="auto"/>
              <w:rPr/>
            </w:pPr>
            <w:r>
              <w:rPr>
                <w:color w:val="231F20"/>
                <w:spacing w:val="-10"/>
              </w:rPr>
              <w:t>23680.34</w:t>
            </w:r>
          </w:p>
        </w:tc>
      </w:tr>
      <w:tr>
        <w:trPr>
          <w:trHeight w:val="234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212"/>
              <w:spacing w:before="43" w:line="181" w:lineRule="exact"/>
              <w:rPr/>
            </w:pPr>
            <w:r>
              <w:rPr>
                <w:color w:val="231F20"/>
                <w:spacing w:val="-2"/>
                <w:position w:val="-1"/>
              </w:rPr>
              <w:t>上海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701"/>
              <w:spacing w:before="36" w:line="188" w:lineRule="exact"/>
              <w:rPr/>
            </w:pPr>
            <w:r>
              <w:rPr>
                <w:color w:val="231F20"/>
                <w:spacing w:val="-11"/>
                <w:position w:val="-1"/>
              </w:rPr>
              <w:t>15.6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787"/>
              <w:spacing w:before="36" w:line="188" w:lineRule="exact"/>
              <w:rPr/>
            </w:pPr>
            <w:r>
              <w:rPr>
                <w:color w:val="231F20"/>
                <w:spacing w:val="-11"/>
                <w:position w:val="-1"/>
              </w:rPr>
              <w:t>16.1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772"/>
              <w:spacing w:before="36" w:line="188" w:lineRule="exact"/>
              <w:rPr/>
            </w:pPr>
            <w:r>
              <w:rPr>
                <w:color w:val="231F20"/>
                <w:spacing w:val="-8"/>
                <w:position w:val="-1"/>
              </w:rPr>
              <w:t>20.9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796"/>
              <w:spacing w:before="36" w:line="188" w:lineRule="exact"/>
              <w:rPr/>
            </w:pPr>
            <w:r>
              <w:rPr>
                <w:color w:val="231F20"/>
                <w:spacing w:val="-11"/>
                <w:position w:val="-1"/>
              </w:rPr>
              <w:t>12.8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796"/>
              <w:spacing w:before="36" w:line="188" w:lineRule="exact"/>
              <w:rPr/>
            </w:pPr>
            <w:r>
              <w:rPr>
                <w:color w:val="231F20"/>
                <w:spacing w:val="-11"/>
                <w:position w:val="-1"/>
              </w:rPr>
              <w:t>11.9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797"/>
              <w:spacing w:before="36" w:line="188" w:lineRule="exact"/>
              <w:rPr/>
            </w:pPr>
            <w:r>
              <w:rPr>
                <w:color w:val="231F20"/>
                <w:spacing w:val="-11"/>
                <w:position w:val="-1"/>
              </w:rPr>
              <w:t>14.2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213"/>
              <w:spacing w:before="46" w:line="180" w:lineRule="exact"/>
              <w:rPr/>
            </w:pPr>
            <w:r>
              <w:rPr>
                <w:color w:val="231F20"/>
                <w:spacing w:val="-2"/>
                <w:position w:val="-1"/>
              </w:rPr>
              <w:t>深圳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689"/>
              <w:spacing w:before="39" w:line="187" w:lineRule="exact"/>
              <w:rPr/>
            </w:pPr>
            <w:r>
              <w:rPr>
                <w:color w:val="231F20"/>
                <w:spacing w:val="-9"/>
                <w:position w:val="-1"/>
              </w:rPr>
              <w:t>35.6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775"/>
              <w:spacing w:before="39" w:line="187" w:lineRule="exact"/>
              <w:rPr/>
            </w:pPr>
            <w:r>
              <w:rPr>
                <w:color w:val="231F20"/>
                <w:spacing w:val="-9"/>
                <w:position w:val="-1"/>
              </w:rPr>
              <w:t>33.5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775"/>
              <w:spacing w:before="39" w:line="187" w:lineRule="exact"/>
              <w:rPr/>
            </w:pPr>
            <w:r>
              <w:rPr>
                <w:color w:val="231F20"/>
                <w:spacing w:val="-9"/>
                <w:position w:val="-1"/>
              </w:rPr>
              <w:t>33.0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781"/>
              <w:spacing w:before="39" w:line="187" w:lineRule="exact"/>
              <w:rPr/>
            </w:pPr>
            <w:r>
              <w:rPr>
                <w:color w:val="231F20"/>
                <w:spacing w:val="-8"/>
                <w:position w:val="-1"/>
              </w:rPr>
              <w:t>23.4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782"/>
              <w:spacing w:before="39" w:line="187" w:lineRule="exact"/>
              <w:rPr/>
            </w:pPr>
            <w:r>
              <w:rPr>
                <w:color w:val="231F20"/>
                <w:spacing w:val="-8"/>
                <w:position w:val="-1"/>
              </w:rPr>
              <w:t>21.6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782"/>
              <w:spacing w:before="39" w:line="187" w:lineRule="exact"/>
              <w:rPr/>
            </w:pPr>
            <w:r>
              <w:rPr>
                <w:color w:val="231F20"/>
                <w:spacing w:val="-8"/>
                <w:position w:val="-1"/>
              </w:rPr>
              <w:t>24.0</w:t>
            </w:r>
          </w:p>
        </w:tc>
      </w:tr>
      <w:tr>
        <w:trPr>
          <w:trHeight w:val="234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211"/>
              <w:spacing w:before="47" w:line="176" w:lineRule="exact"/>
              <w:rPr/>
            </w:pPr>
            <w:r>
              <w:rPr>
                <w:color w:val="231F20"/>
                <w:spacing w:val="-1"/>
                <w:position w:val="-2"/>
              </w:rPr>
              <w:t>北京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903"/>
              <w:spacing w:before="146" w:line="77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89"/>
              <w:spacing w:before="146" w:line="77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769"/>
              <w:spacing w:before="40" w:line="183" w:lineRule="exact"/>
              <w:rPr/>
            </w:pPr>
            <w:r>
              <w:rPr>
                <w:color w:val="231F20"/>
                <w:spacing w:val="-8"/>
                <w:position w:val="-1"/>
              </w:rPr>
              <w:t>46.7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796"/>
              <w:spacing w:before="40" w:line="183" w:lineRule="exact"/>
              <w:rPr/>
            </w:pPr>
            <w:r>
              <w:rPr>
                <w:color w:val="231F20"/>
                <w:spacing w:val="-11"/>
                <w:position w:val="-1"/>
              </w:rPr>
              <w:t>18.9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782"/>
              <w:spacing w:before="40" w:line="183" w:lineRule="exact"/>
              <w:rPr/>
            </w:pPr>
            <w:r>
              <w:rPr>
                <w:color w:val="231F20"/>
                <w:spacing w:val="-8"/>
                <w:position w:val="-1"/>
              </w:rPr>
              <w:t>24.2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785"/>
              <w:spacing w:before="40" w:line="183" w:lineRule="exact"/>
              <w:rPr/>
            </w:pPr>
            <w:r>
              <w:rPr>
                <w:color w:val="231F20"/>
                <w:spacing w:val="-9"/>
                <w:position w:val="-1"/>
              </w:rPr>
              <w:t>31.7</w:t>
            </w:r>
          </w:p>
        </w:tc>
      </w:tr>
      <w:tr>
        <w:trPr>
          <w:trHeight w:val="240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/>
              <w:spacing w:before="46" w:line="184" w:lineRule="exact"/>
              <w:rPr/>
            </w:pPr>
            <w:r>
              <w:rPr>
                <w:color w:val="231F20"/>
                <w:spacing w:val="-2"/>
                <w:position w:val="-1"/>
              </w:rPr>
              <w:t>平均换手率%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spacing w:line="230" w:lineRule="exact"/>
              <w:rPr>
                <w:sz w:val="11"/>
              </w:rPr>
            </w:pPr>
            <w:r/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spacing w:line="230" w:lineRule="exact"/>
              <w:rPr>
                <w:sz w:val="11"/>
              </w:rPr>
            </w:pPr>
            <w:r/>
          </w:p>
        </w:tc>
        <w:tc>
          <w:tcPr>
            <w:tcW w:w="1502" w:type="dxa"/>
            <w:vAlign w:val="top"/>
          </w:tcPr>
          <w:p>
            <w:pPr>
              <w:pStyle w:val="TableText"/>
              <w:spacing w:line="230" w:lineRule="exact"/>
              <w:rPr>
                <w:sz w:val="11"/>
              </w:rPr>
            </w:pPr>
            <w:r/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spacing w:line="230" w:lineRule="exact"/>
              <w:rPr>
                <w:sz w:val="11"/>
              </w:rPr>
            </w:pPr>
            <w:r/>
          </w:p>
        </w:tc>
        <w:tc>
          <w:tcPr>
            <w:tcW w:w="1511" w:type="dxa"/>
            <w:vAlign w:val="top"/>
          </w:tcPr>
          <w:p>
            <w:pPr>
              <w:pStyle w:val="TableText"/>
              <w:spacing w:line="230" w:lineRule="exact"/>
              <w:rPr>
                <w:sz w:val="11"/>
              </w:rPr>
            </w:pPr>
            <w:r/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spacing w:line="230" w:lineRule="exact"/>
              <w:rPr>
                <w:sz w:val="11"/>
              </w:rPr>
            </w:pPr>
            <w:r/>
          </w:p>
        </w:tc>
      </w:tr>
      <w:tr>
        <w:trPr>
          <w:trHeight w:val="234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212"/>
              <w:spacing w:before="46" w:line="177" w:lineRule="exact"/>
              <w:rPr/>
            </w:pPr>
            <w:r>
              <w:rPr>
                <w:color w:val="231F20"/>
                <w:spacing w:val="-2"/>
                <w:position w:val="-2"/>
              </w:rPr>
              <w:t>上海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611"/>
              <w:spacing w:before="39" w:line="184" w:lineRule="exact"/>
              <w:rPr/>
            </w:pPr>
            <w:r>
              <w:rPr>
                <w:color w:val="231F20"/>
                <w:spacing w:val="-11"/>
                <w:position w:val="-1"/>
              </w:rPr>
              <w:t>193.9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683"/>
              <w:spacing w:before="39" w:line="184" w:lineRule="exact"/>
              <w:rPr/>
            </w:pPr>
            <w:r>
              <w:rPr>
                <w:color w:val="231F20"/>
                <w:spacing w:val="-9"/>
                <w:position w:val="-1"/>
              </w:rPr>
              <w:t>258.8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682"/>
              <w:spacing w:before="39" w:line="184" w:lineRule="exact"/>
              <w:rPr/>
            </w:pPr>
            <w:r>
              <w:rPr>
                <w:color w:val="231F20"/>
                <w:spacing w:val="-9"/>
                <w:position w:val="-1"/>
              </w:rPr>
              <w:t>280.7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692"/>
              <w:spacing w:before="39" w:line="184" w:lineRule="exact"/>
              <w:rPr/>
            </w:pPr>
            <w:r>
              <w:rPr>
                <w:color w:val="231F20"/>
                <w:spacing w:val="-9"/>
                <w:position w:val="-1"/>
              </w:rPr>
              <w:t>239.8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692"/>
              <w:spacing w:before="39" w:line="184" w:lineRule="exact"/>
              <w:rPr/>
            </w:pPr>
            <w:r>
              <w:rPr>
                <w:color w:val="231F20"/>
                <w:spacing w:val="-9"/>
                <w:position w:val="-1"/>
              </w:rPr>
              <w:t>207.8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693"/>
              <w:spacing w:before="39" w:line="184" w:lineRule="exact"/>
              <w:rPr/>
            </w:pPr>
            <w:r>
              <w:rPr>
                <w:color w:val="231F20"/>
                <w:spacing w:val="-9"/>
                <w:position w:val="-1"/>
              </w:rPr>
              <w:t>239.6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213"/>
              <w:spacing w:before="49" w:line="177" w:lineRule="exact"/>
              <w:rPr/>
            </w:pPr>
            <w:r>
              <w:rPr>
                <w:color w:val="231F20"/>
                <w:spacing w:val="-2"/>
                <w:position w:val="-1"/>
              </w:rPr>
              <w:t>深圳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94"/>
              <w:spacing w:before="42" w:line="184" w:lineRule="exact"/>
              <w:rPr/>
            </w:pPr>
            <w:r>
              <w:rPr>
                <w:color w:val="231F20"/>
                <w:spacing w:val="-8"/>
                <w:position w:val="-1"/>
              </w:rPr>
              <w:t>454.9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684"/>
              <w:spacing w:before="42" w:line="184" w:lineRule="exact"/>
              <w:rPr/>
            </w:pPr>
            <w:r>
              <w:rPr>
                <w:color w:val="231F20"/>
                <w:spacing w:val="-9"/>
                <w:position w:val="-1"/>
              </w:rPr>
              <w:t>555.8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683"/>
              <w:spacing w:before="42" w:line="184" w:lineRule="exact"/>
              <w:rPr/>
            </w:pPr>
            <w:r>
              <w:rPr>
                <w:color w:val="231F20"/>
                <w:spacing w:val="-9"/>
                <w:position w:val="-1"/>
              </w:rPr>
              <w:t>506.1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689"/>
              <w:spacing w:before="42" w:line="184" w:lineRule="exact"/>
              <w:rPr/>
            </w:pPr>
            <w:r>
              <w:rPr>
                <w:color w:val="231F20"/>
                <w:spacing w:val="-8"/>
                <w:position w:val="-1"/>
              </w:rPr>
              <w:t>470.3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690"/>
              <w:spacing w:before="42" w:line="184" w:lineRule="exact"/>
              <w:rPr/>
            </w:pPr>
            <w:r>
              <w:rPr>
                <w:color w:val="231F20"/>
                <w:spacing w:val="-8"/>
                <w:position w:val="-1"/>
              </w:rPr>
              <w:t>448.2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693"/>
              <w:spacing w:before="42" w:line="184" w:lineRule="exact"/>
              <w:rPr/>
            </w:pPr>
            <w:r>
              <w:rPr>
                <w:color w:val="231F20"/>
                <w:spacing w:val="-9"/>
                <w:position w:val="-1"/>
              </w:rPr>
              <w:t>570.4</w:t>
            </w:r>
          </w:p>
        </w:tc>
      </w:tr>
      <w:tr>
        <w:trPr>
          <w:trHeight w:val="234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211"/>
              <w:spacing w:before="49" w:line="174" w:lineRule="exact"/>
              <w:rPr/>
            </w:pPr>
            <w:r>
              <w:rPr>
                <w:color w:val="231F20"/>
                <w:spacing w:val="-1"/>
                <w:position w:val="-2"/>
              </w:rPr>
              <w:t>北京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903"/>
              <w:spacing w:before="149" w:line="74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989"/>
              <w:spacing w:before="149" w:line="74" w:lineRule="exact"/>
              <w:rPr/>
            </w:pPr>
            <w:r>
              <w:rPr>
                <w:color w:val="231F20"/>
                <w:spacing w:val="16"/>
                <w:w w:val="119"/>
                <w:position w:val="-6"/>
              </w:rPr>
              <w:t>-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772"/>
              <w:spacing w:before="43" w:line="180" w:lineRule="exact"/>
              <w:rPr/>
            </w:pPr>
            <w:r>
              <w:rPr>
                <w:color w:val="231F20"/>
                <w:spacing w:val="-8"/>
                <w:position w:val="-1"/>
              </w:rPr>
              <w:t>62.6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707"/>
              <w:spacing w:before="43" w:line="180" w:lineRule="exact"/>
              <w:rPr/>
            </w:pPr>
            <w:r>
              <w:rPr>
                <w:color w:val="231F20"/>
                <w:spacing w:val="-11"/>
                <w:position w:val="-1"/>
              </w:rPr>
              <w:t>173.0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690"/>
              <w:spacing w:before="43" w:line="180" w:lineRule="exact"/>
              <w:rPr/>
            </w:pPr>
            <w:r>
              <w:rPr>
                <w:color w:val="231F20"/>
                <w:spacing w:val="-8"/>
                <w:position w:val="-1"/>
              </w:rPr>
              <w:t>419.2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618"/>
              <w:spacing w:before="43" w:line="180" w:lineRule="exact"/>
              <w:rPr/>
            </w:pPr>
            <w:r>
              <w:rPr>
                <w:color w:val="231F20"/>
                <w:spacing w:val="-11"/>
                <w:position w:val="-1"/>
              </w:rPr>
              <w:t>1102.8</w:t>
            </w:r>
          </w:p>
        </w:tc>
      </w:tr>
      <w:tr>
        <w:trPr>
          <w:trHeight w:val="238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2"/>
              <w:spacing w:before="47" w:line="180" w:lineRule="exact"/>
              <w:rPr/>
            </w:pPr>
            <w:r>
              <w:rPr>
                <w:color w:val="231F20"/>
                <w:position w:val="-1"/>
              </w:rPr>
              <w:t>政府债券发行额（亿元）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54"/>
              <w:spacing w:before="45" w:line="182" w:lineRule="exact"/>
              <w:rPr/>
            </w:pPr>
            <w:r>
              <w:rPr>
                <w:color w:val="231F20"/>
                <w:spacing w:val="-10"/>
                <w:position w:val="-1"/>
              </w:rPr>
              <w:t>85187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63"/>
              <w:spacing w:before="45" w:line="182" w:lineRule="exact"/>
              <w:rPr/>
            </w:pPr>
            <w:r>
              <w:rPr>
                <w:color w:val="231F20"/>
                <w:spacing w:val="-12"/>
                <w:position w:val="-1"/>
              </w:rPr>
              <w:t>135293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63"/>
              <w:spacing w:before="45" w:line="182" w:lineRule="exact"/>
              <w:rPr/>
            </w:pPr>
            <w:r>
              <w:rPr>
                <w:color w:val="231F20"/>
                <w:spacing w:val="-12"/>
                <w:position w:val="-1"/>
              </w:rPr>
              <w:t>142662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72"/>
              <w:spacing w:before="45" w:line="182" w:lineRule="exact"/>
              <w:rPr/>
            </w:pPr>
            <w:r>
              <w:rPr>
                <w:color w:val="231F20"/>
                <w:spacing w:val="-12"/>
                <w:position w:val="-1"/>
              </w:rPr>
              <w:t>170719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558"/>
              <w:spacing w:before="45" w:line="182" w:lineRule="exact"/>
              <w:rPr/>
            </w:pPr>
            <w:r>
              <w:rPr>
                <w:color w:val="231F20"/>
                <w:spacing w:val="-10"/>
                <w:position w:val="-1"/>
              </w:rPr>
              <w:t>204210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558"/>
              <w:spacing w:before="45" w:line="182" w:lineRule="exact"/>
              <w:rPr/>
            </w:pPr>
            <w:r>
              <w:rPr>
                <w:color w:val="231F20"/>
                <w:spacing w:val="-10"/>
                <w:position w:val="-1"/>
              </w:rPr>
              <w:t>222459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0"/>
              <w:spacing w:before="46" w:line="180" w:lineRule="exact"/>
              <w:rPr/>
            </w:pPr>
            <w:r>
              <w:rPr>
                <w:color w:val="231F20"/>
                <w:position w:val="-1"/>
              </w:rPr>
              <w:t>公司信用类债券发行额（亿元）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477"/>
              <w:spacing w:before="44" w:line="182" w:lineRule="exact"/>
              <w:rPr/>
            </w:pPr>
            <w:r>
              <w:rPr>
                <w:color w:val="231F20"/>
                <w:spacing w:val="-12"/>
                <w:position w:val="-1"/>
              </w:rPr>
              <w:t>107058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63"/>
              <w:spacing w:before="44" w:line="182" w:lineRule="exact"/>
              <w:rPr/>
            </w:pPr>
            <w:r>
              <w:rPr>
                <w:color w:val="231F20"/>
                <w:spacing w:val="-12"/>
                <w:position w:val="-1"/>
              </w:rPr>
              <w:t>142012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63"/>
              <w:spacing w:before="44" w:line="182" w:lineRule="exact"/>
              <w:rPr/>
            </w:pPr>
            <w:r>
              <w:rPr>
                <w:color w:val="231F20"/>
                <w:spacing w:val="-12"/>
                <w:position w:val="-1"/>
              </w:rPr>
              <w:t>146804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72"/>
              <w:spacing w:before="44" w:line="182" w:lineRule="exact"/>
              <w:rPr/>
            </w:pPr>
            <w:r>
              <w:rPr>
                <w:color w:val="231F20"/>
                <w:spacing w:val="-12"/>
                <w:position w:val="-1"/>
              </w:rPr>
              <w:t>136720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573"/>
              <w:spacing w:before="44" w:line="182" w:lineRule="exact"/>
              <w:rPr/>
            </w:pPr>
            <w:r>
              <w:rPr>
                <w:color w:val="231F20"/>
                <w:spacing w:val="-12"/>
                <w:position w:val="-1"/>
              </w:rPr>
              <w:t>138206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573"/>
              <w:spacing w:before="44" w:line="182" w:lineRule="exact"/>
              <w:rPr/>
            </w:pPr>
            <w:r>
              <w:rPr>
                <w:color w:val="231F20"/>
                <w:spacing w:val="-12"/>
                <w:position w:val="-1"/>
              </w:rPr>
              <w:t>147714</w:t>
            </w:r>
          </w:p>
        </w:tc>
      </w:tr>
      <w:tr>
        <w:trPr>
          <w:trHeight w:val="23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50"/>
              <w:spacing w:before="46" w:line="180" w:lineRule="exact"/>
              <w:rPr/>
            </w:pPr>
            <w:r>
              <w:rPr>
                <w:color w:val="231F20"/>
                <w:spacing w:val="-2"/>
                <w:position w:val="-1"/>
              </w:rPr>
              <w:t>国债现货成交金额（亿元）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54"/>
              <w:spacing w:before="45" w:line="181" w:lineRule="exact"/>
              <w:rPr/>
            </w:pPr>
            <w:r>
              <w:rPr>
                <w:color w:val="231F20"/>
                <w:spacing w:val="-10"/>
                <w:position w:val="-1"/>
              </w:rPr>
              <w:t>83530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49"/>
              <w:spacing w:before="45" w:line="181" w:lineRule="exact"/>
              <w:rPr/>
            </w:pPr>
            <w:r>
              <w:rPr>
                <w:color w:val="231F20"/>
                <w:spacing w:val="-10"/>
                <w:position w:val="-1"/>
              </w:rPr>
              <w:t>201786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48"/>
              <w:spacing w:before="45" w:line="181" w:lineRule="exact"/>
              <w:rPr/>
            </w:pPr>
            <w:r>
              <w:rPr>
                <w:color w:val="231F20"/>
                <w:spacing w:val="-10"/>
                <w:position w:val="-1"/>
              </w:rPr>
              <w:t>289275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60"/>
              <w:spacing w:before="45" w:line="181" w:lineRule="exact"/>
              <w:rPr/>
            </w:pPr>
            <w:r>
              <w:rPr>
                <w:color w:val="231F20"/>
                <w:spacing w:val="-10"/>
                <w:position w:val="-1"/>
              </w:rPr>
              <w:t>381136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555"/>
              <w:spacing w:before="45" w:line="181" w:lineRule="exact"/>
              <w:rPr/>
            </w:pPr>
            <w:r>
              <w:rPr>
                <w:color w:val="231F20"/>
                <w:spacing w:val="-10"/>
                <w:position w:val="-1"/>
              </w:rPr>
              <w:t>464485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556"/>
              <w:spacing w:before="45" w:line="181" w:lineRule="exact"/>
              <w:rPr/>
            </w:pPr>
            <w:r>
              <w:rPr>
                <w:color w:val="231F20"/>
                <w:spacing w:val="-10"/>
                <w:position w:val="-1"/>
              </w:rPr>
              <w:t>417302</w:t>
            </w:r>
          </w:p>
        </w:tc>
      </w:tr>
      <w:tr>
        <w:trPr>
          <w:trHeight w:val="237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50"/>
              <w:spacing w:before="47" w:line="180" w:lineRule="exact"/>
              <w:rPr/>
            </w:pPr>
            <w:r>
              <w:rPr>
                <w:color w:val="231F20"/>
                <w:spacing w:val="-2"/>
                <w:position w:val="-1"/>
              </w:rPr>
              <w:t>国债回购成交金额（亿元）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373"/>
              <w:spacing w:before="45" w:line="182" w:lineRule="exact"/>
              <w:rPr/>
            </w:pPr>
            <w:r>
              <w:rPr>
                <w:color w:val="231F20"/>
                <w:spacing w:val="-10"/>
                <w:position w:val="-1"/>
              </w:rPr>
              <w:t>2390194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459"/>
              <w:spacing w:before="45" w:line="182" w:lineRule="exact"/>
              <w:rPr/>
            </w:pPr>
            <w:r>
              <w:rPr>
                <w:color w:val="231F20"/>
                <w:spacing w:val="-10"/>
                <w:position w:val="-1"/>
              </w:rPr>
              <w:t>2874188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462"/>
              <w:spacing w:before="45" w:line="182" w:lineRule="exact"/>
              <w:rPr/>
            </w:pPr>
            <w:r>
              <w:rPr>
                <w:color w:val="231F20"/>
                <w:spacing w:val="-11"/>
                <w:position w:val="-1"/>
              </w:rPr>
              <w:t>3501926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466"/>
              <w:spacing w:before="45" w:line="182" w:lineRule="exact"/>
              <w:rPr/>
            </w:pPr>
            <w:r>
              <w:rPr>
                <w:color w:val="231F20"/>
                <w:spacing w:val="-10"/>
                <w:position w:val="-1"/>
              </w:rPr>
              <w:t>4035601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466"/>
              <w:spacing w:before="45" w:line="182" w:lineRule="exact"/>
              <w:rPr/>
            </w:pPr>
            <w:r>
              <w:rPr>
                <w:color w:val="231F20"/>
                <w:spacing w:val="-10"/>
                <w:position w:val="-1"/>
              </w:rPr>
              <w:t>4557976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470"/>
              <w:spacing w:before="45" w:line="182" w:lineRule="exact"/>
              <w:rPr/>
            </w:pPr>
            <w:r>
              <w:rPr>
                <w:color w:val="231F20"/>
                <w:spacing w:val="-10"/>
                <w:position w:val="-1"/>
              </w:rPr>
              <w:t>5099895</w:t>
            </w:r>
          </w:p>
        </w:tc>
      </w:tr>
      <w:tr>
        <w:trPr>
          <w:trHeight w:val="235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0"/>
              <w:spacing w:before="48" w:line="177" w:lineRule="exact"/>
              <w:rPr/>
            </w:pPr>
            <w:r>
              <w:rPr>
                <w:color w:val="231F20"/>
                <w:position w:val="-2"/>
              </w:rPr>
              <w:t>证券投资基金只数（只）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642"/>
              <w:spacing w:before="45" w:line="180" w:lineRule="exact"/>
              <w:rPr/>
            </w:pPr>
            <w:r>
              <w:rPr>
                <w:color w:val="231F20"/>
                <w:spacing w:val="-10"/>
                <w:position w:val="-1"/>
              </w:rPr>
              <w:t>6111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726"/>
              <w:spacing w:before="45" w:line="180" w:lineRule="exact"/>
              <w:rPr/>
            </w:pPr>
            <w:r>
              <w:rPr>
                <w:color w:val="231F20"/>
                <w:spacing w:val="-9"/>
                <w:position w:val="-1"/>
              </w:rPr>
              <w:t>7258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727"/>
              <w:spacing w:before="45" w:line="180" w:lineRule="exact"/>
              <w:rPr/>
            </w:pPr>
            <w:r>
              <w:rPr>
                <w:color w:val="231F20"/>
                <w:spacing w:val="-9"/>
                <w:position w:val="-1"/>
              </w:rPr>
              <w:t>9152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662"/>
              <w:spacing w:before="45" w:line="180" w:lineRule="exact"/>
              <w:rPr/>
            </w:pPr>
            <w:r>
              <w:rPr>
                <w:color w:val="231F20"/>
                <w:spacing w:val="-12"/>
                <w:position w:val="-1"/>
              </w:rPr>
              <w:t>10576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662"/>
              <w:spacing w:before="45" w:line="180" w:lineRule="exact"/>
              <w:rPr/>
            </w:pPr>
            <w:r>
              <w:rPr>
                <w:color w:val="231F20"/>
                <w:spacing w:val="-12"/>
                <w:position w:val="-1"/>
              </w:rPr>
              <w:t>11528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662"/>
              <w:spacing w:before="45" w:line="180" w:lineRule="exact"/>
              <w:rPr/>
            </w:pPr>
            <w:r>
              <w:rPr>
                <w:color w:val="231F20"/>
                <w:spacing w:val="-12"/>
                <w:position w:val="-1"/>
              </w:rPr>
              <w:t>12367</w:t>
            </w:r>
          </w:p>
        </w:tc>
      </w:tr>
      <w:tr>
        <w:trPr>
          <w:trHeight w:val="237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0"/>
              <w:spacing w:before="49" w:line="177" w:lineRule="exact"/>
              <w:rPr/>
            </w:pPr>
            <w:r>
              <w:rPr>
                <w:color w:val="231F20"/>
                <w:position w:val="-2"/>
              </w:rPr>
              <w:t>证券投资基金规模（亿元）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477"/>
              <w:spacing w:before="47" w:line="179" w:lineRule="exact"/>
              <w:rPr/>
            </w:pPr>
            <w:r>
              <w:rPr>
                <w:color w:val="231F20"/>
                <w:spacing w:val="-12"/>
                <w:position w:val="-1"/>
              </w:rPr>
              <w:t>147673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63"/>
              <w:spacing w:before="47" w:line="179" w:lineRule="exact"/>
              <w:rPr/>
            </w:pPr>
            <w:r>
              <w:rPr>
                <w:color w:val="231F20"/>
                <w:spacing w:val="-12"/>
                <w:position w:val="-1"/>
              </w:rPr>
              <w:t>198519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48"/>
              <w:spacing w:before="47" w:line="179" w:lineRule="exact"/>
              <w:rPr/>
            </w:pPr>
            <w:r>
              <w:rPr>
                <w:color w:val="231F20"/>
                <w:spacing w:val="-10"/>
                <w:position w:val="-1"/>
              </w:rPr>
              <w:t>255625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58"/>
              <w:spacing w:before="47" w:line="179" w:lineRule="exact"/>
              <w:rPr/>
            </w:pPr>
            <w:r>
              <w:rPr>
                <w:color w:val="231F20"/>
                <w:spacing w:val="-10"/>
                <w:position w:val="-1"/>
              </w:rPr>
              <w:t>260311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558"/>
              <w:spacing w:before="47" w:line="179" w:lineRule="exact"/>
              <w:rPr/>
            </w:pPr>
            <w:r>
              <w:rPr>
                <w:color w:val="231F20"/>
                <w:spacing w:val="-10"/>
                <w:position w:val="-1"/>
              </w:rPr>
              <w:t>275993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561"/>
              <w:spacing w:before="47" w:line="179" w:lineRule="exact"/>
              <w:rPr/>
            </w:pPr>
            <w:r>
              <w:rPr>
                <w:color w:val="231F20"/>
                <w:spacing w:val="-10"/>
                <w:position w:val="-1"/>
              </w:rPr>
              <w:t>328251</w:t>
            </w:r>
          </w:p>
        </w:tc>
      </w:tr>
      <w:tr>
        <w:trPr>
          <w:trHeight w:val="245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/>
              <w:spacing w:before="46" w:line="189" w:lineRule="exact"/>
              <w:rPr/>
            </w:pPr>
            <w:r>
              <w:rPr>
                <w:color w:val="231F20"/>
                <w:spacing w:val="-1"/>
              </w:rPr>
              <w:t>交易所上市证券投资基金成交金额(亿元）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52"/>
              <w:spacing w:before="46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91679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63"/>
              <w:spacing w:before="46" w:line="189" w:lineRule="exact"/>
              <w:rPr/>
            </w:pPr>
            <w:r>
              <w:rPr>
                <w:color w:val="231F20"/>
                <w:spacing w:val="-12"/>
                <w:position w:val="-1"/>
              </w:rPr>
              <w:t>136239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63"/>
              <w:spacing w:before="46" w:line="189" w:lineRule="exact"/>
              <w:rPr/>
            </w:pPr>
            <w:r>
              <w:rPr>
                <w:color w:val="231F20"/>
                <w:spacing w:val="-12"/>
                <w:position w:val="-1"/>
              </w:rPr>
              <w:t>183100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58"/>
              <w:spacing w:before="46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231615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558"/>
              <w:spacing w:before="46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277800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561"/>
              <w:spacing w:before="46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366000</w:t>
            </w:r>
          </w:p>
        </w:tc>
      </w:tr>
      <w:tr>
        <w:trPr>
          <w:trHeight w:val="226" w:hRule="atLeast"/>
        </w:trPr>
        <w:tc>
          <w:tcPr>
            <w:shd w:val="clear" w:fill="D4E5F5"/>
            <w:tcW w:w="3579" w:type="dxa"/>
            <w:vAlign w:val="top"/>
          </w:tcPr>
          <w:p>
            <w:pPr>
              <w:pStyle w:val="TableText"/>
              <w:ind w:left="31"/>
              <w:spacing w:before="41" w:line="175" w:lineRule="exact"/>
              <w:rPr/>
            </w:pPr>
            <w:r>
              <w:rPr>
                <w:color w:val="231F20"/>
                <w:position w:val="-2"/>
              </w:rPr>
              <w:t>期货成交总量（万手）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465"/>
              <w:spacing w:before="38" w:line="178" w:lineRule="exact"/>
              <w:rPr/>
            </w:pPr>
            <w:r>
              <w:rPr>
                <w:color w:val="231F20"/>
                <w:spacing w:val="-10"/>
                <w:position w:val="-1"/>
              </w:rPr>
              <w:t>392157</w:t>
            </w:r>
          </w:p>
        </w:tc>
        <w:tc>
          <w:tcPr>
            <w:shd w:val="clear" w:fill="D4E5F5"/>
            <w:tcW w:w="1512" w:type="dxa"/>
            <w:vAlign w:val="top"/>
          </w:tcPr>
          <w:p>
            <w:pPr>
              <w:pStyle w:val="TableText"/>
              <w:ind w:left="549"/>
              <w:spacing w:before="38" w:line="178" w:lineRule="exact"/>
              <w:rPr/>
            </w:pPr>
            <w:r>
              <w:rPr>
                <w:color w:val="231F20"/>
                <w:spacing w:val="-10"/>
                <w:position w:val="-1"/>
              </w:rPr>
              <w:t>602735</w:t>
            </w:r>
          </w:p>
        </w:tc>
        <w:tc>
          <w:tcPr>
            <w:tcW w:w="1502" w:type="dxa"/>
            <w:vAlign w:val="top"/>
          </w:tcPr>
          <w:p>
            <w:pPr>
              <w:pStyle w:val="TableText"/>
              <w:ind w:left="547"/>
              <w:spacing w:before="38" w:line="178" w:lineRule="exact"/>
              <w:rPr/>
            </w:pPr>
            <w:r>
              <w:rPr>
                <w:color w:val="231F20"/>
                <w:spacing w:val="-10"/>
                <w:position w:val="-1"/>
              </w:rPr>
              <w:t>726924</w:t>
            </w:r>
          </w:p>
        </w:tc>
        <w:tc>
          <w:tcPr>
            <w:shd w:val="clear" w:fill="D4E5F5"/>
            <w:tcW w:w="1511" w:type="dxa"/>
            <w:vAlign w:val="top"/>
          </w:tcPr>
          <w:p>
            <w:pPr>
              <w:pStyle w:val="TableText"/>
              <w:ind w:left="558"/>
              <w:spacing w:before="38" w:line="178" w:lineRule="exact"/>
              <w:rPr/>
            </w:pPr>
            <w:r>
              <w:rPr>
                <w:color w:val="231F20"/>
                <w:spacing w:val="-10"/>
                <w:position w:val="-1"/>
              </w:rPr>
              <w:t>634228</w:t>
            </w:r>
          </w:p>
        </w:tc>
        <w:tc>
          <w:tcPr>
            <w:tcW w:w="1511" w:type="dxa"/>
            <w:vAlign w:val="top"/>
          </w:tcPr>
          <w:p>
            <w:pPr>
              <w:pStyle w:val="TableText"/>
              <w:ind w:left="557"/>
              <w:spacing w:before="38" w:line="178" w:lineRule="exact"/>
              <w:rPr/>
            </w:pPr>
            <w:r>
              <w:rPr>
                <w:color w:val="231F20"/>
                <w:spacing w:val="-10"/>
                <w:position w:val="-1"/>
              </w:rPr>
              <w:t>737871</w:t>
            </w:r>
          </w:p>
        </w:tc>
        <w:tc>
          <w:tcPr>
            <w:shd w:val="clear" w:fill="D4E5F5"/>
            <w:tcW w:w="1543" w:type="dxa"/>
            <w:vAlign w:val="top"/>
          </w:tcPr>
          <w:p>
            <w:pPr>
              <w:pStyle w:val="TableText"/>
              <w:ind w:left="559"/>
              <w:spacing w:before="38" w:line="178" w:lineRule="exact"/>
              <w:rPr/>
            </w:pPr>
            <w:r>
              <w:rPr>
                <w:color w:val="231F20"/>
                <w:spacing w:val="-10"/>
                <w:position w:val="-1"/>
              </w:rPr>
              <w:t>658535</w:t>
            </w:r>
          </w:p>
        </w:tc>
      </w:tr>
      <w:tr>
        <w:trPr>
          <w:trHeight w:val="248" w:hRule="atLeast"/>
        </w:trPr>
        <w:tc>
          <w:tcPr>
            <w:shd w:val="clear" w:fill="D4E5F5"/>
            <w:tcW w:w="357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1"/>
              <w:spacing w:before="51" w:line="187" w:lineRule="exact"/>
              <w:rPr/>
            </w:pPr>
            <w:r>
              <w:rPr>
                <w:color w:val="231F20"/>
                <w:position w:val="-1"/>
              </w:rPr>
              <w:t>期货成交额（亿元）</w:t>
            </w:r>
          </w:p>
        </w:tc>
        <w:tc>
          <w:tcPr>
            <w:tcW w:w="142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73"/>
              <w:spacing w:before="49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2905856</w:t>
            </w:r>
          </w:p>
        </w:tc>
        <w:tc>
          <w:tcPr>
            <w:shd w:val="clear" w:fill="D4E5F5"/>
            <w:tcW w:w="151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57"/>
              <w:spacing w:before="49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4373005</w:t>
            </w:r>
          </w:p>
        </w:tc>
        <w:tc>
          <w:tcPr>
            <w:tcW w:w="150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60"/>
              <w:spacing w:before="49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5807071</w:t>
            </w:r>
          </w:p>
        </w:tc>
        <w:tc>
          <w:tcPr>
            <w:shd w:val="clear" w:fill="D4E5F5"/>
            <w:tcW w:w="151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69"/>
              <w:spacing w:before="49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5343025</w:t>
            </w:r>
          </w:p>
        </w:tc>
        <w:tc>
          <w:tcPr>
            <w:tcW w:w="151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69"/>
              <w:spacing w:before="49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5675694</w:t>
            </w:r>
          </w:p>
        </w:tc>
        <w:tc>
          <w:tcPr>
            <w:shd w:val="clear" w:fill="D4E5F5"/>
            <w:tcW w:w="1543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70"/>
              <w:spacing w:before="49" w:line="189" w:lineRule="exact"/>
              <w:rPr/>
            </w:pPr>
            <w:r>
              <w:rPr>
                <w:color w:val="231F20"/>
                <w:spacing w:val="-10"/>
                <w:position w:val="-1"/>
              </w:rPr>
              <w:t>6179005</w:t>
            </w:r>
          </w:p>
        </w:tc>
      </w:tr>
    </w:tbl>
    <w:p>
      <w:pPr>
        <w:pStyle w:val="BodyText"/>
        <w:ind w:left="354"/>
        <w:spacing w:before="109" w:line="202" w:lineRule="exact"/>
        <w:rPr>
          <w:sz w:val="18"/>
          <w:szCs w:val="18"/>
        </w:rPr>
      </w:pPr>
      <w:r>
        <w:rPr>
          <w:sz w:val="18"/>
          <w:szCs w:val="18"/>
          <w:color w:val="231F20"/>
          <w:spacing w:val="-1"/>
          <w:position w:val="-1"/>
        </w:rPr>
        <w:t>数据来源：中国人民银行、中国证监会、中国证券投资基金业协会、中央结算公司。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09888" behindDoc="0" locked="0" layoutInCell="1" allowOverlap="1">
                <wp:simplePos x="0" y="0"/>
                <wp:positionH relativeFrom="column">
                  <wp:posOffset>205200</wp:posOffset>
                </wp:positionH>
                <wp:positionV relativeFrom="paragraph">
                  <wp:posOffset>63955</wp:posOffset>
                </wp:positionV>
                <wp:extent cx="288290" cy="216534"/>
                <wp:effectExtent l="0" t="0" r="0" b="0"/>
                <wp:wrapNone/>
                <wp:docPr id="744" name="TextBox 744"/>
                <wp:cNvGraphicFramePr/>
                <a:graphic>
                  <a:graphicData uri="http://schemas.microsoft.com/office/word/2010/wordprocessingShape">
                    <wps:wsp>
                      <wps:cNvPr id="744" name="TextBox 744"/>
                      <wps:cNvSpPr txBox="1"/>
                      <wps:spPr>
                        <a:xfrm rot="5400000">
                          <a:off x="205200" y="63955"/>
                          <a:ext cx="288290" cy="216534"/>
                        </a:xfrm>
                        <a:prstGeom prst="rect">
                          <a:avLst/>
                        </a:prstGeom>
                        <a:solidFill>
                          <a:srgbClr val="174B8B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77"/>
                              <w:spacing w:before="91" w:line="196" w:lineRule="auto"/>
                              <w:rPr>
                                <w:rFonts w:ascii="DejaVu Sans" w:hAnsi="DejaVu Sans" w:eastAsia="DejaVu Sans" w:cs="DejaVu San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DejaVu Sans" w:hAnsi="DejaVu Sans" w:eastAsia="DejaVu Sans" w:cs="DejaVu Sans"/>
                                <w:sz w:val="21"/>
                                <w:szCs w:val="21"/>
                                <w:color w:val="FFFFFF"/>
                                <w:spacing w:val="-18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4" style="position:absolute;margin-left:16.1575pt;margin-top:5.03589pt;mso-position-vertical-relative:text;mso-position-horizontal-relative:text;width:22.7pt;height:17.05pt;z-index:252709888;rotation:90;" fillcolor="#174B8B" filled="true" stroked="false" type="#_x0000_t202">
                <v:fill on="tru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77"/>
                        <w:spacing w:before="91" w:line="196" w:lineRule="auto"/>
                        <w:rPr>
                          <w:rFonts w:ascii="DejaVu Sans" w:hAnsi="DejaVu Sans" w:eastAsia="DejaVu Sans" w:cs="DejaVu Sans"/>
                          <w:sz w:val="21"/>
                          <w:szCs w:val="21"/>
                        </w:rPr>
                      </w:pPr>
                      <w:r>
                        <w:rPr>
                          <w:rFonts w:ascii="DejaVu Sans" w:hAnsi="DejaVu Sans" w:eastAsia="DejaVu Sans" w:cs="DejaVu Sans"/>
                          <w:sz w:val="21"/>
                          <w:szCs w:val="21"/>
                          <w:color w:val="FFFFFF"/>
                          <w:spacing w:val="-18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06" style="position:absolute;margin-left:19.2413pt;margin-top:2.45105pt;mso-position-vertical-relative:text;mso-position-horizontal-relative:text;width:0.5pt;height:439.4pt;z-index:252710912;" filled="false" strokecolor="#174B8B" strokeweight="0.50pt" coordsize="10,8788" coordorigin="0,0" path="m4,0l4,8787e">
            <v:stroke joinstyle="miter" miterlimit="4"/>
          </v:shape>
        </w:pict>
      </w: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ind w:firstLine="473"/>
        <w:spacing w:before="1" w:line="272" w:lineRule="exact"/>
        <w:rPr/>
      </w:pPr>
      <w:r>
        <w:rPr>
          <w:position w:val="-5"/>
        </w:rPr>
        <w:drawing>
          <wp:inline distT="0" distB="0" distL="0" distR="0">
            <wp:extent cx="150076" cy="173266"/>
            <wp:effectExtent l="0" t="0" r="0" b="0"/>
            <wp:docPr id="746" name="IM 746"/>
            <wp:cNvGraphicFramePr/>
            <a:graphic>
              <a:graphicData uri="http://schemas.openxmlformats.org/drawingml/2006/picture">
                <pic:pic>
                  <pic:nvPicPr>
                    <pic:cNvPr id="746" name="IM 746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076" cy="1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7" w:lineRule="auto"/>
        <w:rPr/>
      </w:pPr>
      <w:r>
        <w:drawing>
          <wp:anchor distT="0" distB="0" distL="0" distR="0" simplePos="0" relativeHeight="252716032" behindDoc="0" locked="0" layoutInCell="1" allowOverlap="1">
            <wp:simplePos x="0" y="0"/>
            <wp:positionH relativeFrom="column">
              <wp:posOffset>309394</wp:posOffset>
            </wp:positionH>
            <wp:positionV relativeFrom="paragraph">
              <wp:posOffset>17900</wp:posOffset>
            </wp:positionV>
            <wp:extent cx="35217" cy="92255"/>
            <wp:effectExtent l="0" t="0" r="0" b="0"/>
            <wp:wrapNone/>
            <wp:docPr id="748" name="IM 748"/>
            <wp:cNvGraphicFramePr/>
            <a:graphic>
              <a:graphicData uri="http://schemas.openxmlformats.org/drawingml/2006/picture">
                <pic:pic>
                  <pic:nvPicPr>
                    <pic:cNvPr id="748" name="IM 748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17" cy="9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13984" behindDoc="0" locked="0" layoutInCell="1" allowOverlap="1">
            <wp:simplePos x="0" y="0"/>
            <wp:positionH relativeFrom="column">
              <wp:posOffset>309397</wp:posOffset>
            </wp:positionH>
            <wp:positionV relativeFrom="paragraph">
              <wp:posOffset>115186</wp:posOffset>
            </wp:positionV>
            <wp:extent cx="35204" cy="286207"/>
            <wp:effectExtent l="0" t="0" r="0" b="0"/>
            <wp:wrapNone/>
            <wp:docPr id="750" name="IM 750"/>
            <wp:cNvGraphicFramePr/>
            <a:graphic>
              <a:graphicData uri="http://schemas.openxmlformats.org/drawingml/2006/picture">
                <pic:pic>
                  <pic:nvPicPr>
                    <pic:cNvPr id="750" name="IM 750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04" cy="28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08" style="position:absolute;margin-left:28.9438pt;margin-top:1.27301pt;mso-position-vertical-relative:text;mso-position-horizontal-relative:text;width:6.3pt;height:32.5pt;z-index:252711936;" fillcolor="#174B8B" filled="true" stroked="false" coordsize="126,650" coordorigin="0,0" path="m55,53l55,85l88,85l88,53l55,53xm55,11l55,42l88,42l88,11l55,11xm96,42c105,42,114,42,123,42l123,54c115,53,106,53,96,53l96,97c89,97,80,96,67,96c55,96,45,97,38,97l38,86l47,86l47,53l23,53c18,53,11,53,2,54l2,41c10,42,17,42,23,42l47,42l47,11l37,11l37,0c44,0,54,0,67,0c80,0,90,0,96,0l96,42xem115,132l115,238c106,237,97,237,87,237l33,237c22,237,12,237,2,238l2,228l9,228l9,142l1,142l1,132c12,133,22,133,33,133l87,133c97,133,106,133,115,132m16,142l16,228l108,228l108,142l16,142xm94,154c93,159,93,165,93,172l93,201c93,206,93,212,94,217l85,217c86,212,86,206,86,201l86,189l69,189l69,198c69,204,69,209,69,215l61,215c61,209,61,204,61,198l61,189l38,189l38,202c38,208,38,214,39,220l30,220c31,215,31,209,31,202l31,168c31,162,31,157,30,151l39,151c38,157,38,162,38,168l38,179l61,179l61,172c61,166,61,161,61,156l69,156c69,161,69,166,69,172l69,179l86,179l86,172c86,165,86,159,85,154l94,154xm52,195c54,198,56,200,57,203c56,204,52,207,47,212c45,209,43,206,41,204c43,203,46,200,52,195em35,283c36,287,38,290,40,293c32,297,27,300,23,302c21,299,20,295,18,292c21,291,27,288,35,283m111,316c104,312,98,307,94,303c89,298,84,293,79,287c79,293,78,298,78,302l78,333c79,338,79,344,79,351c85,342,90,335,95,330c100,325,105,320,111,316m125,311c124,314,122,318,120,324l117,321c111,326,106,331,101,337c97,343,92,350,89,358c85,367,82,374,81,381c77,378,73,375,69,374c72,366,75,359,78,352l69,352c70,345,70,339,70,335l70,323l52,323l52,341c53,347,53,354,53,361l43,361c44,354,44,347,44,341l44,323l15,323l15,334c27,338,36,341,41,342c40,344,38,348,36,355c32,352,25,348,15,343c15,354,15,363,15,370l6,370c6,363,6,356,6,350l6,288c6,281,6,274,6,268l15,268c15,275,15,281,15,288l15,313l44,313l44,296c44,291,44,285,43,278l53,278c53,285,52,290,52,295l52,313l70,313c70,302,70,293,69,286l78,286c74,279,70,273,66,268c69,266,72,263,75,260c77,264,80,269,83,275c87,280,92,286,97,292c103,297,112,304,125,311em21,502c25,501,29,500,33,498c34,501,35,504,37,507c32,509,27,510,23,512c19,513,13,515,5,517c4,514,3,511,2,507c7,506,11,505,14,504c12,495,10,487,8,481c7,474,5,468,2,461c6,460,10,459,13,457c13,462,14,470,16,480l50,480l50,470l39,470l39,461c49,461,60,461,70,461c80,461,89,461,96,461l96,480c110,480,119,480,123,480l123,490c118,490,109,489,96,489l96,509c87,509,79,509,70,509c62,509,53,509,46,509l46,500l50,500l50,489l18,489c19,493,20,497,21,502m58,489l58,500l88,500l88,489l58,489xm58,470l58,480l88,480l88,470l58,470xm50,431c48,434,47,436,47,440c44,437,39,435,33,433l33,440l25,440l25,429l9,429l9,421l25,421l25,413l33,413l33,426c40,429,45,430,50,431m50,419c46,420,42,422,38,424c37,422,37,419,36,417c39,416,43,414,47,413c48,415,49,417,50,419m2,437c6,436,9,435,12,433c12,438,12,441,12,442c13,443,14,443,16,443l53,443l53,409l0,409l0,399c8,399,15,399,21,399l41,399c47,399,54,399,61,399l61,453c55,452,49,452,42,452l12,452c8,452,5,451,5,448c4,446,3,442,2,437m96,450c92,449,87,449,83,449c79,449,74,449,69,450l69,405c74,405,79,405,83,405c87,405,92,405,96,405l96,450xm77,414l77,440l88,440l88,414l77,414xm113,436c113,443,114,449,114,453l105,453c105,448,105,442,105,436l105,416c105,408,105,403,105,399l114,399c114,403,113,408,113,415l113,436xem32,588l32,599c28,599,23,598,18,598c12,598,9,599,9,601c9,603,9,606,9,610c9,615,9,618,9,619c9,620,13,621,20,622c18,625,16,628,15,632c7,630,2,627,2,624c1,622,0,616,0,609c0,601,0,596,1,593c2,590,5,589,9,589l22,589c26,589,29,589,32,588m31,630c32,633,34,636,36,638c27,643,19,647,13,649c12,646,11,644,9,641c13,639,21,635,31,630m35,605c36,608,36,611,37,614c31,616,26,617,22,618c22,616,21,613,20,609c25,608,30,607,35,605m33,573c32,576,31,579,31,583c29,581,24,580,18,578c12,577,7,576,4,575c5,571,6,568,6,566c11,568,16,569,20,570c24,571,28,572,33,573m102,594c99,592,94,589,90,586c89,590,89,595,89,601l89,612c94,614,98,616,102,618l102,594xm123,595c121,598,120,602,119,607c117,604,114,602,109,599l109,633c107,631,104,630,100,628c97,626,93,624,89,622l89,638c85,638,78,638,67,638c57,638,49,638,43,638l43,594c43,589,43,585,43,580l51,580c51,585,51,589,51,595l51,629l63,629l63,597c63,592,63,587,63,583l71,583c71,587,70,591,70,596l70,629l82,629l82,601c82,595,81,591,81,586l89,586c86,584,83,582,82,580c84,577,86,574,87,572c92,577,97,581,105,586c112,591,118,594,123,595m118,566c114,568,111,571,108,574c108,571,107,568,106,564c105,561,105,558,105,556l82,556c82,560,82,565,83,570l74,570c75,565,75,560,75,556l59,556c61,558,63,561,65,563c59,567,54,570,50,573c48,570,46,567,44,565c48,563,52,560,58,556l22,556c16,556,9,556,1,557l1,547c9,547,16,547,22,547l56,547c51,545,47,543,43,542c39,540,34,537,28,534c31,532,34,529,37,527c39,529,44,532,51,536c59,540,67,543,75,545c75,541,75,535,74,529l83,529c82,535,82,541,82,547l103,547c102,544,101,539,100,534c103,533,106,531,109,529c110,535,111,541,112,548c114,555,116,561,118,566e"/>
        </w:pict>
      </w:r>
      <w:r/>
    </w:p>
    <w:p>
      <w:pPr>
        <w:ind w:firstLine="487"/>
        <w:spacing w:line="151" w:lineRule="exact"/>
        <w:rPr/>
      </w:pPr>
      <w:r>
        <w:pict>
          <v:shape id="_x0000_s210" style="position:absolute;margin-left:29.0497pt;margin-top:2.87404pt;mso-position-vertical-relative:text;mso-position-horizontal-relative:text;width:6.1pt;height:6pt;z-index:252715008;" fillcolor="#174B8B" filled="true" stroked="false" coordsize="122,120" coordorigin="0,0" path="m121,65c119,66,114,69,107,72c106,69,104,65,103,63l103,117c99,116,95,116,91,116c88,116,84,116,80,117l80,106l94,106l94,16l78,16l78,6c82,6,86,6,90,6c94,6,99,6,103,6l103,60c107,59,112,57,117,54c118,58,120,61,121,65m77,23c76,29,76,35,76,42l76,79c76,87,76,93,77,100l67,100c68,93,68,87,68,79l68,67l48,67l48,90c48,95,48,101,48,108l39,108c39,101,39,95,39,89l39,67l13,67c11,82,11,99,13,119c9,117,5,115,1,115c1,101,1,89,2,80c2,71,3,64,5,58c7,51,9,46,13,41c16,37,21,32,26,28c21,25,16,22,12,19c7,17,3,14,0,11c3,7,5,3,6,0c14,9,23,15,33,19c43,23,51,26,56,26c54,30,53,35,52,40c49,38,47,36,44,35c42,34,39,33,35,32c31,35,27,38,24,42c20,46,17,51,15,58l68,58l68,42c68,35,68,29,67,23l77,23xe"/>
        </w:pict>
      </w:r>
      <w:r>
        <w:rPr>
          <w:position w:val="-3"/>
        </w:rPr>
        <w:drawing>
          <wp:inline distT="0" distB="0" distL="0" distR="0">
            <wp:extent cx="34595" cy="95841"/>
            <wp:effectExtent l="0" t="0" r="0" b="0"/>
            <wp:docPr id="752" name="IM 752"/>
            <wp:cNvGraphicFramePr/>
            <a:graphic>
              <a:graphicData uri="http://schemas.openxmlformats.org/drawingml/2006/picture">
                <pic:pic>
                  <pic:nvPicPr>
                    <pic:cNvPr id="752" name="IM 752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95" cy="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72"/>
        <w:spacing w:before="2" w:line="35" w:lineRule="exact"/>
        <w:rPr>
          <w:rFonts w:ascii="DejaVu Sans" w:hAnsi="DejaVu Sans" w:eastAsia="DejaVu Sans" w:cs="DejaVu Sans"/>
          <w:sz w:val="6"/>
          <w:szCs w:val="6"/>
        </w:rPr>
      </w:pPr>
      <w:r>
        <w:pict>
          <v:shape id="_x0000_s212" style="position:absolute;margin-left:28.9443pt;margin-top:1.93659pt;mso-position-vertical-relative:text;mso-position-horizontal-relative:text;width:6.15pt;height:12.9pt;z-index:252712960;" fillcolor="#174B8B" filled="true" stroked="false" coordsize="123,258" coordorigin="0,0" path="m93,3c93,8,93,15,93,24c104,24,114,24,122,23l122,34c116,34,106,34,93,34c93,39,93,45,93,50l83,50c83,43,83,38,83,34l64,34c65,40,67,45,69,50c66,49,62,49,58,50c57,44,55,39,54,34l15,34c10,34,7,33,5,30c4,27,2,22,1,14c5,13,10,11,13,9c13,15,13,19,13,21c14,23,16,24,20,24l50,24c47,13,44,7,43,5c47,3,51,1,55,0c56,6,58,14,60,24l83,24c83,16,83,9,83,3l93,3xm115,57l115,112c106,111,99,110,94,109c88,108,85,106,84,104c82,101,81,95,80,86c85,85,89,84,92,82c91,91,92,95,93,97c95,98,99,99,105,100l105,68l73,68l73,114c68,113,62,112,52,109c43,107,34,103,27,99c21,105,16,113,13,122c10,118,6,115,2,113c10,103,15,97,19,93c14,89,8,84,2,77c6,75,9,72,12,69c15,75,20,81,26,86c37,81,49,77,63,74l63,84c50,86,41,89,36,93c43,97,52,100,63,102l63,68l1,68l1,57c10,57,19,57,28,58l90,58c99,58,107,58,115,57em100,229c100,236,100,241,100,244l91,244c91,241,91,237,91,230l91,203l72,203l72,240c72,248,72,254,72,257l63,257c63,254,63,249,63,241l63,154c63,149,63,144,63,138l72,138c72,145,72,151,72,155l72,193l91,193l91,166c86,163,82,160,79,158c81,156,82,153,84,148c88,152,94,155,100,159c106,162,113,164,120,166c118,172,116,176,115,178c114,176,109,174,100,170l100,193l108,193c115,193,120,193,122,192l122,204c120,204,115,203,109,203l100,203l100,229xm19,167l19,227l42,227l42,167l19,167xm51,238c47,237,40,237,29,237c19,237,10,237,3,238l3,227l10,227l10,167l0,167l0,157c5,157,14,157,25,157c36,157,45,157,51,157l51,238xe"/>
        </w:pict>
      </w:r>
      <w:r>
        <w:rPr>
          <w:rFonts w:ascii="DejaVu Sans" w:hAnsi="DejaVu Sans" w:eastAsia="DejaVu Sans" w:cs="DejaVu Sans"/>
          <w:sz w:val="6"/>
          <w:szCs w:val="6"/>
          <w:color w:val="174B8B"/>
          <w:spacing w:val="4"/>
          <w:position w:val="-1"/>
        </w:rPr>
        <w:t>&lt;</w:t>
      </w:r>
    </w:p>
    <w:p>
      <w:pPr>
        <w:pStyle w:val="BodyText"/>
        <w:ind w:left="488"/>
        <w:spacing w:before="27" w:line="48" w:lineRule="exact"/>
        <w:rPr>
          <w:sz w:val="5"/>
          <w:szCs w:val="5"/>
        </w:rPr>
      </w:pPr>
      <w:r>
        <w:rPr>
          <w:sz w:val="5"/>
          <w:szCs w:val="5"/>
          <w:color w:val="174B8B"/>
          <w:spacing w:val="3"/>
        </w:rPr>
        <w:t>刀</w:t>
      </w:r>
    </w:p>
    <w:p>
      <w:pPr>
        <w:ind w:firstLine="473"/>
        <w:spacing w:before="3" w:line="168" w:lineRule="exact"/>
        <w:rPr/>
      </w:pPr>
      <w:r>
        <w:rPr>
          <w:position w:val="-3"/>
        </w:rPr>
        <w:drawing>
          <wp:inline distT="0" distB="0" distL="0" distR="0">
            <wp:extent cx="42793" cy="106368"/>
            <wp:effectExtent l="0" t="0" r="0" b="0"/>
            <wp:docPr id="754" name="IM 754"/>
            <wp:cNvGraphicFramePr/>
            <a:graphic>
              <a:graphicData uri="http://schemas.openxmlformats.org/drawingml/2006/picture">
                <pic:pic>
                  <pic:nvPicPr>
                    <pic:cNvPr id="754" name="IM 754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793" cy="1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0"/>
        <w:spacing w:before="42" w:line="86" w:lineRule="exact"/>
        <w:rPr/>
      </w:pPr>
      <w:r>
        <w:rPr>
          <w:position w:val="-1"/>
        </w:rPr>
        <w:drawing>
          <wp:inline distT="0" distB="0" distL="0" distR="0">
            <wp:extent cx="101523" cy="54533"/>
            <wp:effectExtent l="0" t="0" r="0" b="0"/>
            <wp:docPr id="756" name="IM 756"/>
            <wp:cNvGraphicFramePr/>
            <a:graphic>
              <a:graphicData uri="http://schemas.openxmlformats.org/drawingml/2006/picture">
                <pic:pic>
                  <pic:nvPicPr>
                    <pic:cNvPr id="756" name="IM 756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23" cy="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6"/>
        <w:spacing w:before="20" w:line="90" w:lineRule="exact"/>
        <w:rPr/>
      </w:pPr>
      <w:r>
        <w:rPr>
          <w:position w:val="-1"/>
        </w:rPr>
        <w:drawing>
          <wp:inline distT="0" distB="0" distL="0" distR="0">
            <wp:extent cx="104153" cy="57391"/>
            <wp:effectExtent l="0" t="0" r="0" b="0"/>
            <wp:docPr id="758" name="IM 758"/>
            <wp:cNvGraphicFramePr/>
            <a:graphic>
              <a:graphicData uri="http://schemas.openxmlformats.org/drawingml/2006/picture">
                <pic:pic>
                  <pic:nvPicPr>
                    <pic:cNvPr id="758" name="IM 758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153" cy="5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7"/>
        <w:spacing w:before="17" w:line="193" w:lineRule="exact"/>
        <w:rPr/>
      </w:pPr>
      <w:r>
        <w:rPr>
          <w:position w:val="-3"/>
        </w:rPr>
        <w:drawing>
          <wp:inline distT="0" distB="0" distL="0" distR="0">
            <wp:extent cx="103448" cy="122092"/>
            <wp:effectExtent l="0" t="0" r="0" b="0"/>
            <wp:docPr id="760" name="IM 760"/>
            <wp:cNvGraphicFramePr/>
            <a:graphic>
              <a:graphicData uri="http://schemas.openxmlformats.org/drawingml/2006/picture">
                <pic:pic>
                  <pic:nvPicPr>
                    <pic:cNvPr id="760" name="IM 760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448" cy="1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3" w:lineRule="exact"/>
        <w:sectPr>
          <w:type w:val="continuous"/>
          <w:pgSz w:w="16158" w:h="11906"/>
          <w:pgMar w:top="400" w:right="1077" w:bottom="400" w:left="1574" w:header="0" w:footer="0" w:gutter="0"/>
          <w:cols w:equalWidth="0" w:num="2">
            <w:col w:w="12687" w:space="100"/>
            <w:col w:w="720" w:space="0"/>
          </w:cols>
        </w:sectPr>
        <w:rPr/>
      </w:pPr>
    </w:p>
    <w:p>
      <w:pPr>
        <w:pStyle w:val="BodyText"/>
        <w:spacing w:line="284" w:lineRule="auto"/>
        <w:rPr/>
      </w:pPr>
      <w:r/>
    </w:p>
    <w:p>
      <w:pPr>
        <w:pStyle w:val="BodyText"/>
        <w:ind w:left="429"/>
        <w:spacing w:before="102" w:line="163" w:lineRule="auto"/>
        <w:rPr/>
      </w:pPr>
      <w:r>
        <w:rPr>
          <w:color w:val="174B8B"/>
          <w:spacing w:val="-1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16                                            </w:t>
      </w:r>
      <w:r>
        <w:rPr>
          <w:color w:val="174B8B"/>
          <w:spacing w:val="-1"/>
        </w:rPr>
        <w:t>股票市值与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GDP</w:t>
      </w:r>
      <w:r>
        <w:rPr>
          <w:color w:val="174B8B"/>
          <w:spacing w:val="-1"/>
        </w:rPr>
        <w:t>的比率</w:t>
      </w:r>
    </w:p>
    <w:p>
      <w:pPr>
        <w:pStyle w:val="BodyText"/>
        <w:ind w:left="6902"/>
        <w:spacing w:before="1" w:line="176" w:lineRule="auto"/>
        <w:rPr/>
      </w:pPr>
      <w:r>
        <w:rPr>
          <w:color w:val="231F20"/>
          <w:spacing w:val="-3"/>
        </w:rPr>
        <w:t>单位：亿元，%</w:t>
      </w:r>
    </w:p>
    <w:p>
      <w:pPr>
        <w:spacing w:line="88" w:lineRule="exact"/>
        <w:rPr/>
      </w:pPr>
      <w:r/>
    </w:p>
    <w:tbl>
      <w:tblPr>
        <w:tblStyle w:val="TableNormal"/>
        <w:tblW w:w="878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89"/>
        <w:gridCol w:w="1500"/>
        <w:gridCol w:w="1504"/>
        <w:gridCol w:w="1465"/>
        <w:gridCol w:w="1464"/>
        <w:gridCol w:w="1465"/>
      </w:tblGrid>
      <w:tr>
        <w:trPr>
          <w:trHeight w:val="386" w:hRule="atLeast"/>
        </w:trPr>
        <w:tc>
          <w:tcPr>
            <w:shd w:val="clear" w:fill="D4E5F5"/>
            <w:tcW w:w="138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557"/>
              <w:spacing w:before="102" w:line="176" w:lineRule="auto"/>
              <w:rPr/>
            </w:pPr>
            <w:r>
              <w:rPr>
                <w:color w:val="231F20"/>
                <w:spacing w:val="-2"/>
              </w:rPr>
              <w:t>年份</w:t>
            </w:r>
          </w:p>
        </w:tc>
        <w:tc>
          <w:tcPr>
            <w:tcW w:w="1500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46"/>
              <w:spacing w:before="128" w:line="221" w:lineRule="exact"/>
              <w:rPr/>
            </w:pPr>
            <w:r>
              <w:rPr>
                <w:color w:val="231F20"/>
                <w:spacing w:val="-8"/>
                <w:position w:val="-4"/>
              </w:rPr>
              <w:t>GDP</w:t>
            </w:r>
          </w:p>
        </w:tc>
        <w:tc>
          <w:tcPr>
            <w:shd w:val="clear" w:fill="D4E5F5"/>
            <w:tcW w:w="150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417"/>
              <w:spacing w:before="101" w:line="178" w:lineRule="auto"/>
              <w:rPr/>
            </w:pPr>
            <w:r>
              <w:rPr>
                <w:color w:val="231F20"/>
                <w:spacing w:val="-1"/>
              </w:rPr>
              <w:t>市价总值</w:t>
            </w:r>
          </w:p>
        </w:tc>
        <w:tc>
          <w:tcPr>
            <w:tcW w:w="146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577"/>
              <w:spacing w:before="100" w:line="179" w:lineRule="auto"/>
              <w:rPr/>
            </w:pPr>
            <w:r>
              <w:rPr>
                <w:color w:val="231F20"/>
                <w:spacing w:val="-7"/>
              </w:rPr>
              <w:t>比率</w:t>
            </w:r>
          </w:p>
        </w:tc>
        <w:tc>
          <w:tcPr>
            <w:shd w:val="clear" w:fill="D4E5F5"/>
            <w:tcW w:w="146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80"/>
              <w:spacing w:before="101" w:line="179" w:lineRule="auto"/>
              <w:rPr/>
            </w:pPr>
            <w:r>
              <w:rPr>
                <w:color w:val="231F20"/>
                <w:spacing w:val="-2"/>
              </w:rPr>
              <w:t>流通市值</w:t>
            </w:r>
          </w:p>
        </w:tc>
        <w:tc>
          <w:tcPr>
            <w:tcW w:w="146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577"/>
              <w:spacing w:before="100" w:line="179" w:lineRule="auto"/>
              <w:rPr/>
            </w:pPr>
            <w:r>
              <w:rPr>
                <w:color w:val="231F20"/>
                <w:spacing w:val="-7"/>
              </w:rPr>
              <w:t>比率</w:t>
            </w:r>
          </w:p>
        </w:tc>
      </w:tr>
      <w:tr>
        <w:trPr>
          <w:trHeight w:val="389" w:hRule="atLeast"/>
        </w:trPr>
        <w:tc>
          <w:tcPr>
            <w:shd w:val="clear" w:fill="D4E5F5"/>
            <w:tcW w:w="138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58"/>
              <w:spacing w:before="99" w:line="194" w:lineRule="auto"/>
              <w:rPr/>
            </w:pPr>
            <w:r>
              <w:rPr>
                <w:color w:val="231F20"/>
                <w:spacing w:val="-9"/>
              </w:rPr>
              <w:t>2003</w:t>
            </w:r>
          </w:p>
        </w:tc>
        <w:tc>
          <w:tcPr>
            <w:tcW w:w="1500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70"/>
              <w:spacing w:before="99" w:line="194" w:lineRule="auto"/>
              <w:rPr/>
            </w:pPr>
            <w:r>
              <w:rPr>
                <w:color w:val="231F20"/>
                <w:spacing w:val="-12"/>
              </w:rPr>
              <w:t>135823</w:t>
            </w:r>
          </w:p>
        </w:tc>
        <w:tc>
          <w:tcPr>
            <w:shd w:val="clear" w:fill="D4E5F5"/>
            <w:tcW w:w="150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50"/>
              <w:spacing w:before="99" w:line="194" w:lineRule="auto"/>
              <w:rPr/>
            </w:pPr>
            <w:r>
              <w:rPr>
                <w:color w:val="231F20"/>
                <w:spacing w:val="-9"/>
              </w:rPr>
              <w:t>42478</w:t>
            </w:r>
          </w:p>
        </w:tc>
        <w:tc>
          <w:tcPr>
            <w:tcW w:w="146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61"/>
              <w:spacing w:before="99" w:line="194" w:lineRule="auto"/>
              <w:rPr/>
            </w:pPr>
            <w:r>
              <w:rPr>
                <w:color w:val="231F20"/>
                <w:spacing w:val="-9"/>
              </w:rPr>
              <w:t>31.26</w:t>
            </w:r>
          </w:p>
        </w:tc>
        <w:tc>
          <w:tcPr>
            <w:shd w:val="clear" w:fill="D4E5F5"/>
            <w:tcW w:w="146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27"/>
              <w:spacing w:before="99" w:line="194" w:lineRule="auto"/>
              <w:rPr/>
            </w:pPr>
            <w:r>
              <w:rPr>
                <w:color w:val="231F20"/>
                <w:spacing w:val="-12"/>
              </w:rPr>
              <w:t>13185</w:t>
            </w:r>
          </w:p>
        </w:tc>
        <w:tc>
          <w:tcPr>
            <w:tcW w:w="146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96"/>
              <w:spacing w:before="99" w:line="194" w:lineRule="auto"/>
              <w:rPr/>
            </w:pPr>
            <w:r>
              <w:rPr>
                <w:color w:val="231F20"/>
                <w:spacing w:val="-8"/>
              </w:rPr>
              <w:t>9.70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06" w:line="194" w:lineRule="auto"/>
              <w:rPr/>
            </w:pPr>
            <w:r>
              <w:rPr>
                <w:color w:val="231F20"/>
                <w:spacing w:val="-9"/>
              </w:rPr>
              <w:t>2004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70"/>
              <w:spacing w:before="106" w:line="194" w:lineRule="auto"/>
              <w:rPr/>
            </w:pPr>
            <w:r>
              <w:rPr>
                <w:color w:val="231F20"/>
                <w:spacing w:val="-12"/>
              </w:rPr>
              <w:t>159878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555"/>
              <w:spacing w:before="106" w:line="194" w:lineRule="auto"/>
              <w:rPr/>
            </w:pPr>
            <w:r>
              <w:rPr>
                <w:color w:val="231F20"/>
                <w:spacing w:val="-10"/>
              </w:rPr>
              <w:t>37081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8"/>
              <w:spacing w:before="106" w:line="194" w:lineRule="auto"/>
              <w:rPr/>
            </w:pPr>
            <w:r>
              <w:rPr>
                <w:color w:val="231F20"/>
                <w:spacing w:val="-9"/>
              </w:rPr>
              <w:t>23.18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527"/>
              <w:spacing w:before="106" w:line="194" w:lineRule="auto"/>
              <w:rPr/>
            </w:pPr>
            <w:r>
              <w:rPr>
                <w:color w:val="231F20"/>
                <w:spacing w:val="-12"/>
              </w:rPr>
              <w:t>11701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94"/>
              <w:spacing w:before="106" w:line="194" w:lineRule="auto"/>
              <w:rPr/>
            </w:pPr>
            <w:r>
              <w:rPr>
                <w:color w:val="231F20"/>
                <w:spacing w:val="-8"/>
              </w:rPr>
              <w:t>7.31</w:t>
            </w:r>
          </w:p>
        </w:tc>
      </w:tr>
      <w:tr>
        <w:trPr>
          <w:trHeight w:val="395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07" w:line="192" w:lineRule="auto"/>
              <w:rPr/>
            </w:pPr>
            <w:r>
              <w:rPr>
                <w:color w:val="231F20"/>
                <w:spacing w:val="-9"/>
              </w:rPr>
              <w:t>2005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70"/>
              <w:spacing w:before="107" w:line="192" w:lineRule="auto"/>
              <w:rPr/>
            </w:pPr>
            <w:r>
              <w:rPr>
                <w:color w:val="231F20"/>
                <w:spacing w:val="-12"/>
              </w:rPr>
              <w:t>183868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555"/>
              <w:spacing w:before="107" w:line="192" w:lineRule="auto"/>
              <w:rPr/>
            </w:pPr>
            <w:r>
              <w:rPr>
                <w:color w:val="231F20"/>
                <w:spacing w:val="-10"/>
              </w:rPr>
              <w:t>32446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73"/>
              <w:spacing w:before="107" w:line="192" w:lineRule="auto"/>
              <w:rPr/>
            </w:pPr>
            <w:r>
              <w:rPr>
                <w:color w:val="231F20"/>
                <w:spacing w:val="-11"/>
              </w:rPr>
              <w:t>17.64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527"/>
              <w:spacing w:before="107" w:line="192" w:lineRule="auto"/>
              <w:rPr/>
            </w:pPr>
            <w:r>
              <w:rPr>
                <w:color w:val="231F20"/>
                <w:spacing w:val="-12"/>
              </w:rPr>
              <w:t>10638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96"/>
              <w:spacing w:before="107" w:line="192" w:lineRule="auto"/>
              <w:rPr/>
            </w:pPr>
            <w:r>
              <w:rPr>
                <w:color w:val="231F20"/>
                <w:spacing w:val="-8"/>
              </w:rPr>
              <w:t>5.78</w:t>
            </w:r>
          </w:p>
        </w:tc>
      </w:tr>
      <w:tr>
        <w:trPr>
          <w:trHeight w:val="397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08" w:line="193" w:lineRule="auto"/>
              <w:rPr/>
            </w:pPr>
            <w:r>
              <w:rPr>
                <w:color w:val="231F20"/>
                <w:spacing w:val="-9"/>
              </w:rPr>
              <w:t>2006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5"/>
              <w:spacing w:before="108" w:line="193" w:lineRule="auto"/>
              <w:rPr/>
            </w:pPr>
            <w:r>
              <w:rPr>
                <w:color w:val="231F20"/>
                <w:spacing w:val="-10"/>
              </w:rPr>
              <w:t>211923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555"/>
              <w:spacing w:before="108" w:line="193" w:lineRule="auto"/>
              <w:rPr/>
            </w:pPr>
            <w:r>
              <w:rPr>
                <w:color w:val="231F20"/>
                <w:spacing w:val="-10"/>
              </w:rPr>
              <w:t>89441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5"/>
              <w:spacing w:before="108" w:line="193" w:lineRule="auto"/>
              <w:rPr/>
            </w:pPr>
            <w:r>
              <w:rPr>
                <w:color w:val="231F20"/>
                <w:spacing w:val="-8"/>
              </w:rPr>
              <w:t>42.19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512"/>
              <w:spacing w:before="108" w:line="193" w:lineRule="auto"/>
              <w:rPr/>
            </w:pPr>
            <w:r>
              <w:rPr>
                <w:color w:val="231F20"/>
                <w:spacing w:val="-10"/>
              </w:rPr>
              <w:t>25021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66"/>
              <w:spacing w:before="108" w:line="193" w:lineRule="auto"/>
              <w:rPr/>
            </w:pPr>
            <w:r>
              <w:rPr>
                <w:color w:val="231F20"/>
                <w:spacing w:val="-11"/>
              </w:rPr>
              <w:t>11.80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08" w:line="192" w:lineRule="auto"/>
              <w:rPr/>
            </w:pPr>
            <w:r>
              <w:rPr>
                <w:color w:val="231F20"/>
                <w:spacing w:val="-9"/>
              </w:rPr>
              <w:t>2007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5"/>
              <w:spacing w:before="108" w:line="192" w:lineRule="auto"/>
              <w:rPr/>
            </w:pPr>
            <w:r>
              <w:rPr>
                <w:color w:val="231F20"/>
                <w:spacing w:val="-10"/>
              </w:rPr>
              <w:t>249530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6"/>
              <w:spacing w:before="108" w:line="192" w:lineRule="auto"/>
              <w:rPr/>
            </w:pPr>
            <w:r>
              <w:rPr>
                <w:color w:val="231F20"/>
                <w:spacing w:val="-10"/>
              </w:rPr>
              <w:t>327291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483"/>
              <w:spacing w:before="108" w:line="192" w:lineRule="auto"/>
              <w:rPr/>
            </w:pPr>
            <w:r>
              <w:rPr>
                <w:color w:val="231F20"/>
                <w:spacing w:val="-11"/>
              </w:rPr>
              <w:t>131.10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512"/>
              <w:spacing w:before="108" w:line="192" w:lineRule="auto"/>
              <w:rPr/>
            </w:pPr>
            <w:r>
              <w:rPr>
                <w:color w:val="231F20"/>
                <w:spacing w:val="-10"/>
              </w:rPr>
              <w:t>93141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4"/>
              <w:spacing w:before="108" w:line="192" w:lineRule="auto"/>
              <w:rPr/>
            </w:pPr>
            <w:r>
              <w:rPr>
                <w:color w:val="231F20"/>
                <w:spacing w:val="-9"/>
              </w:rPr>
              <w:t>37.30</w:t>
            </w:r>
          </w:p>
        </w:tc>
      </w:tr>
      <w:tr>
        <w:trPr>
          <w:trHeight w:val="395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09" w:line="191" w:lineRule="auto"/>
              <w:rPr/>
            </w:pPr>
            <w:r>
              <w:rPr>
                <w:color w:val="231F20"/>
                <w:spacing w:val="-9"/>
              </w:rPr>
              <w:t>2008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8"/>
              <w:spacing w:before="109" w:line="191" w:lineRule="auto"/>
              <w:rPr/>
            </w:pPr>
            <w:r>
              <w:rPr>
                <w:color w:val="231F20"/>
                <w:spacing w:val="-10"/>
              </w:rPr>
              <w:t>300670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78"/>
              <w:spacing w:before="109" w:line="191" w:lineRule="auto"/>
              <w:rPr/>
            </w:pPr>
            <w:r>
              <w:rPr>
                <w:color w:val="231F20"/>
                <w:spacing w:val="-12"/>
              </w:rPr>
              <w:t>121541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5"/>
              <w:spacing w:before="109" w:line="191" w:lineRule="auto"/>
              <w:rPr/>
            </w:pPr>
            <w:r>
              <w:rPr>
                <w:color w:val="231F20"/>
                <w:spacing w:val="-8"/>
              </w:rPr>
              <w:t>40.36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510"/>
              <w:spacing w:before="109" w:line="191" w:lineRule="auto"/>
              <w:rPr/>
            </w:pPr>
            <w:r>
              <w:rPr>
                <w:color w:val="231F20"/>
                <w:spacing w:val="-9"/>
              </w:rPr>
              <w:t>45303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66"/>
              <w:spacing w:before="109" w:line="191" w:lineRule="auto"/>
              <w:rPr/>
            </w:pPr>
            <w:r>
              <w:rPr>
                <w:color w:val="231F20"/>
                <w:spacing w:val="-11"/>
              </w:rPr>
              <w:t>15.04</w:t>
            </w:r>
          </w:p>
        </w:tc>
      </w:tr>
      <w:tr>
        <w:trPr>
          <w:trHeight w:val="397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1" w:line="191" w:lineRule="auto"/>
              <w:rPr/>
            </w:pPr>
            <w:r>
              <w:rPr>
                <w:color w:val="231F20"/>
                <w:spacing w:val="-9"/>
              </w:rPr>
              <w:t>2009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8"/>
              <w:spacing w:before="111" w:line="191" w:lineRule="auto"/>
              <w:rPr/>
            </w:pPr>
            <w:r>
              <w:rPr>
                <w:color w:val="231F20"/>
                <w:spacing w:val="-10"/>
              </w:rPr>
              <w:t>335353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3"/>
              <w:spacing w:before="111" w:line="191" w:lineRule="auto"/>
              <w:rPr/>
            </w:pPr>
            <w:r>
              <w:rPr>
                <w:color w:val="231F20"/>
                <w:spacing w:val="-10"/>
              </w:rPr>
              <w:t>244104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7"/>
              <w:spacing w:before="111" w:line="191" w:lineRule="auto"/>
              <w:rPr/>
            </w:pPr>
            <w:r>
              <w:rPr>
                <w:color w:val="231F20"/>
                <w:spacing w:val="-9"/>
              </w:rPr>
              <w:t>72.74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38"/>
              <w:spacing w:before="111" w:line="191" w:lineRule="auto"/>
              <w:rPr/>
            </w:pPr>
            <w:r>
              <w:rPr>
                <w:color w:val="231F20"/>
                <w:spacing w:val="-12"/>
              </w:rPr>
              <w:t>151342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48"/>
              <w:spacing w:before="111" w:line="191" w:lineRule="auto"/>
              <w:rPr/>
            </w:pPr>
            <w:r>
              <w:rPr>
                <w:color w:val="231F20"/>
                <w:spacing w:val="-8"/>
              </w:rPr>
              <w:t>45.10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1" w:line="190" w:lineRule="auto"/>
              <w:rPr/>
            </w:pPr>
            <w:r>
              <w:rPr>
                <w:color w:val="231F20"/>
                <w:spacing w:val="-9"/>
              </w:rPr>
              <w:t>2010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8"/>
              <w:spacing w:before="111" w:line="190" w:lineRule="auto"/>
              <w:rPr/>
            </w:pPr>
            <w:r>
              <w:rPr>
                <w:color w:val="231F20"/>
                <w:spacing w:val="-10"/>
              </w:rPr>
              <w:t>397983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3"/>
              <w:spacing w:before="111" w:line="190" w:lineRule="auto"/>
              <w:rPr/>
            </w:pPr>
            <w:r>
              <w:rPr>
                <w:color w:val="231F20"/>
                <w:spacing w:val="-10"/>
              </w:rPr>
              <w:t>265423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9"/>
              <w:spacing w:before="111" w:line="190" w:lineRule="auto"/>
              <w:rPr/>
            </w:pPr>
            <w:r>
              <w:rPr>
                <w:color w:val="231F20"/>
                <w:spacing w:val="-9"/>
              </w:rPr>
              <w:t>66.69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38"/>
              <w:spacing w:before="111" w:line="190" w:lineRule="auto"/>
              <w:rPr/>
            </w:pPr>
            <w:r>
              <w:rPr>
                <w:color w:val="231F20"/>
                <w:spacing w:val="-12"/>
              </w:rPr>
              <w:t>193110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48"/>
              <w:spacing w:before="111" w:line="190" w:lineRule="auto"/>
              <w:rPr/>
            </w:pPr>
            <w:r>
              <w:rPr>
                <w:color w:val="231F20"/>
                <w:spacing w:val="-8"/>
              </w:rPr>
              <w:t>48.52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1" w:line="190" w:lineRule="auto"/>
              <w:rPr/>
            </w:pPr>
            <w:r>
              <w:rPr>
                <w:color w:val="231F20"/>
                <w:spacing w:val="-9"/>
              </w:rPr>
              <w:t>2011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2"/>
              <w:spacing w:before="111" w:line="190" w:lineRule="auto"/>
              <w:rPr/>
            </w:pPr>
            <w:r>
              <w:rPr>
                <w:color w:val="231F20"/>
                <w:spacing w:val="-10"/>
              </w:rPr>
              <w:t>471564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3"/>
              <w:spacing w:before="111" w:line="190" w:lineRule="auto"/>
              <w:rPr/>
            </w:pPr>
            <w:r>
              <w:rPr>
                <w:color w:val="231F20"/>
                <w:spacing w:val="-10"/>
              </w:rPr>
              <w:t>214758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5"/>
              <w:spacing w:before="111" w:line="190" w:lineRule="auto"/>
              <w:rPr/>
            </w:pPr>
            <w:r>
              <w:rPr>
                <w:color w:val="231F20"/>
                <w:spacing w:val="-8"/>
              </w:rPr>
              <w:t>45.54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38"/>
              <w:spacing w:before="111" w:line="190" w:lineRule="auto"/>
              <w:rPr/>
            </w:pPr>
            <w:r>
              <w:rPr>
                <w:color w:val="231F20"/>
                <w:spacing w:val="-12"/>
              </w:rPr>
              <w:t>164921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4"/>
              <w:spacing w:before="111" w:line="190" w:lineRule="auto"/>
              <w:rPr/>
            </w:pPr>
            <w:r>
              <w:rPr>
                <w:color w:val="231F20"/>
                <w:spacing w:val="-9"/>
              </w:rPr>
              <w:t>34.97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3" w:line="189" w:lineRule="auto"/>
              <w:rPr/>
            </w:pPr>
            <w:r>
              <w:rPr>
                <w:color w:val="231F20"/>
                <w:spacing w:val="-9"/>
              </w:rPr>
              <w:t>2012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6"/>
              <w:spacing w:before="113" w:line="189" w:lineRule="auto"/>
              <w:rPr/>
            </w:pPr>
            <w:r>
              <w:rPr>
                <w:color w:val="231F20"/>
                <w:spacing w:val="-10"/>
              </w:rPr>
              <w:t>519322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3"/>
              <w:spacing w:before="113" w:line="189" w:lineRule="auto"/>
              <w:rPr/>
            </w:pPr>
            <w:r>
              <w:rPr>
                <w:color w:val="231F20"/>
                <w:spacing w:val="-10"/>
              </w:rPr>
              <w:t>230358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5"/>
              <w:spacing w:before="113" w:line="189" w:lineRule="auto"/>
              <w:rPr/>
            </w:pPr>
            <w:r>
              <w:rPr>
                <w:color w:val="231F20"/>
                <w:spacing w:val="-8"/>
              </w:rPr>
              <w:t>44.36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38"/>
              <w:spacing w:before="113" w:line="189" w:lineRule="auto"/>
              <w:rPr/>
            </w:pPr>
            <w:r>
              <w:rPr>
                <w:color w:val="231F20"/>
                <w:spacing w:val="-12"/>
              </w:rPr>
              <w:t>181658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4"/>
              <w:spacing w:before="113" w:line="189" w:lineRule="auto"/>
              <w:rPr/>
            </w:pPr>
            <w:r>
              <w:rPr>
                <w:color w:val="231F20"/>
                <w:spacing w:val="-9"/>
              </w:rPr>
              <w:t>34.98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4" w:line="188" w:lineRule="auto"/>
              <w:rPr/>
            </w:pPr>
            <w:r>
              <w:rPr>
                <w:color w:val="231F20"/>
                <w:spacing w:val="-9"/>
              </w:rPr>
              <w:t>2013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6"/>
              <w:spacing w:before="114" w:line="188" w:lineRule="auto"/>
              <w:rPr/>
            </w:pPr>
            <w:r>
              <w:rPr>
                <w:color w:val="231F20"/>
                <w:spacing w:val="-10"/>
              </w:rPr>
              <w:t>568845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3"/>
              <w:spacing w:before="114" w:line="188" w:lineRule="auto"/>
              <w:rPr/>
            </w:pPr>
            <w:r>
              <w:rPr>
                <w:color w:val="231F20"/>
                <w:spacing w:val="-10"/>
              </w:rPr>
              <w:t>239077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5"/>
              <w:spacing w:before="114" w:line="188" w:lineRule="auto"/>
              <w:rPr/>
            </w:pPr>
            <w:r>
              <w:rPr>
                <w:color w:val="231F20"/>
                <w:spacing w:val="-8"/>
              </w:rPr>
              <w:t>42.03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38"/>
              <w:spacing w:before="114" w:line="188" w:lineRule="auto"/>
              <w:rPr/>
            </w:pPr>
            <w:r>
              <w:rPr>
                <w:color w:val="231F20"/>
                <w:spacing w:val="-12"/>
              </w:rPr>
              <w:t>199580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4"/>
              <w:spacing w:before="114" w:line="188" w:lineRule="auto"/>
              <w:rPr/>
            </w:pPr>
            <w:r>
              <w:rPr>
                <w:color w:val="231F20"/>
                <w:spacing w:val="-9"/>
              </w:rPr>
              <w:t>35.09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4" w:line="188" w:lineRule="auto"/>
              <w:rPr/>
            </w:pPr>
            <w:r>
              <w:rPr>
                <w:color w:val="231F20"/>
                <w:spacing w:val="-9"/>
              </w:rPr>
              <w:t>2014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6"/>
              <w:spacing w:before="114" w:line="188" w:lineRule="auto"/>
              <w:rPr/>
            </w:pPr>
            <w:r>
              <w:rPr>
                <w:color w:val="231F20"/>
                <w:spacing w:val="-10"/>
              </w:rPr>
              <w:t>636463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6"/>
              <w:spacing w:before="114" w:line="188" w:lineRule="auto"/>
              <w:rPr/>
            </w:pPr>
            <w:r>
              <w:rPr>
                <w:color w:val="231F20"/>
                <w:spacing w:val="-10"/>
              </w:rPr>
              <w:t>372547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9"/>
              <w:spacing w:before="114" w:line="188" w:lineRule="auto"/>
              <w:rPr/>
            </w:pPr>
            <w:r>
              <w:rPr>
                <w:color w:val="231F20"/>
                <w:spacing w:val="-9"/>
              </w:rPr>
              <w:t>58.53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6"/>
              <w:spacing w:before="114" w:line="188" w:lineRule="auto"/>
              <w:rPr/>
            </w:pPr>
            <w:r>
              <w:rPr>
                <w:color w:val="231F20"/>
                <w:spacing w:val="-10"/>
              </w:rPr>
              <w:t>315624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48"/>
              <w:spacing w:before="114" w:line="188" w:lineRule="auto"/>
              <w:rPr/>
            </w:pPr>
            <w:r>
              <w:rPr>
                <w:color w:val="231F20"/>
                <w:spacing w:val="-8"/>
              </w:rPr>
              <w:t>49.59</w:t>
            </w:r>
          </w:p>
        </w:tc>
      </w:tr>
      <w:tr>
        <w:trPr>
          <w:trHeight w:val="395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5" w:line="187" w:lineRule="auto"/>
              <w:rPr/>
            </w:pPr>
            <w:r>
              <w:rPr>
                <w:color w:val="231F20"/>
                <w:spacing w:val="-9"/>
              </w:rPr>
              <w:t>2015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6"/>
              <w:spacing w:before="115" w:line="187" w:lineRule="auto"/>
              <w:rPr/>
            </w:pPr>
            <w:r>
              <w:rPr>
                <w:color w:val="231F20"/>
                <w:spacing w:val="-10"/>
              </w:rPr>
              <w:t>676708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4"/>
              <w:spacing w:before="115" w:line="187" w:lineRule="auto"/>
              <w:rPr/>
            </w:pPr>
            <w:r>
              <w:rPr>
                <w:color w:val="231F20"/>
                <w:spacing w:val="-10"/>
              </w:rPr>
              <w:t>531463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7"/>
              <w:spacing w:before="115" w:line="187" w:lineRule="auto"/>
              <w:rPr/>
            </w:pPr>
            <w:r>
              <w:rPr>
                <w:color w:val="231F20"/>
                <w:spacing w:val="-9"/>
              </w:rPr>
              <w:t>78.51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0"/>
              <w:spacing w:before="115" w:line="187" w:lineRule="auto"/>
              <w:rPr/>
            </w:pPr>
            <w:r>
              <w:rPr>
                <w:color w:val="231F20"/>
                <w:spacing w:val="-10"/>
              </w:rPr>
              <w:t>417881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2"/>
              <w:spacing w:before="115" w:line="187" w:lineRule="auto"/>
              <w:rPr/>
            </w:pPr>
            <w:r>
              <w:rPr>
                <w:color w:val="231F20"/>
                <w:spacing w:val="-9"/>
              </w:rPr>
              <w:t>61.76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7" w:line="186" w:lineRule="auto"/>
              <w:rPr/>
            </w:pPr>
            <w:r>
              <w:rPr>
                <w:color w:val="231F20"/>
                <w:spacing w:val="-9"/>
              </w:rPr>
              <w:t>2016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4"/>
              <w:spacing w:before="117" w:line="186" w:lineRule="auto"/>
              <w:rPr/>
            </w:pPr>
            <w:r>
              <w:rPr>
                <w:color w:val="231F20"/>
                <w:spacing w:val="-10"/>
              </w:rPr>
              <w:t>744127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4"/>
              <w:spacing w:before="117" w:line="186" w:lineRule="auto"/>
              <w:rPr/>
            </w:pPr>
            <w:r>
              <w:rPr>
                <w:color w:val="231F20"/>
                <w:spacing w:val="-10"/>
              </w:rPr>
              <w:t>507686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9"/>
              <w:spacing w:before="117" w:line="186" w:lineRule="auto"/>
              <w:rPr/>
            </w:pPr>
            <w:r>
              <w:rPr>
                <w:color w:val="231F20"/>
                <w:spacing w:val="-9"/>
              </w:rPr>
              <w:t>68.30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6"/>
              <w:spacing w:before="117" w:line="186" w:lineRule="auto"/>
              <w:rPr/>
            </w:pPr>
            <w:r>
              <w:rPr>
                <w:color w:val="231F20"/>
                <w:spacing w:val="-10"/>
              </w:rPr>
              <w:t>393402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2"/>
              <w:spacing w:before="117" w:line="186" w:lineRule="auto"/>
              <w:rPr/>
            </w:pPr>
            <w:r>
              <w:rPr>
                <w:color w:val="231F20"/>
                <w:spacing w:val="-9"/>
              </w:rPr>
              <w:t>52.85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9" w:line="185" w:lineRule="auto"/>
              <w:rPr/>
            </w:pPr>
            <w:r>
              <w:rPr>
                <w:color w:val="231F20"/>
                <w:spacing w:val="-9"/>
              </w:rPr>
              <w:t>2017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7"/>
              <w:spacing w:before="119" w:line="185" w:lineRule="auto"/>
              <w:rPr/>
            </w:pPr>
            <w:r>
              <w:rPr>
                <w:color w:val="231F20"/>
                <w:spacing w:val="-10"/>
              </w:rPr>
              <w:t>827122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4"/>
              <w:spacing w:before="119" w:line="185" w:lineRule="auto"/>
              <w:rPr/>
            </w:pPr>
            <w:r>
              <w:rPr>
                <w:color w:val="231F20"/>
                <w:spacing w:val="-10"/>
              </w:rPr>
              <w:t>567086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9"/>
              <w:spacing w:before="119" w:line="185" w:lineRule="auto"/>
              <w:rPr/>
            </w:pPr>
            <w:r>
              <w:rPr>
                <w:color w:val="231F20"/>
                <w:spacing w:val="-9"/>
              </w:rPr>
              <w:t>68.56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0"/>
              <w:spacing w:before="119" w:line="185" w:lineRule="auto"/>
              <w:rPr/>
            </w:pPr>
            <w:r>
              <w:rPr>
                <w:color w:val="231F20"/>
                <w:spacing w:val="-10"/>
              </w:rPr>
              <w:t>449298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2"/>
              <w:spacing w:before="119" w:line="185" w:lineRule="auto"/>
              <w:rPr/>
            </w:pPr>
            <w:r>
              <w:rPr>
                <w:color w:val="231F20"/>
                <w:spacing w:val="-9"/>
              </w:rPr>
              <w:t>54.32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19" w:line="185" w:lineRule="auto"/>
              <w:rPr/>
            </w:pPr>
            <w:r>
              <w:rPr>
                <w:color w:val="231F20"/>
                <w:spacing w:val="-9"/>
              </w:rPr>
              <w:t>2018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5"/>
              <w:spacing w:before="119" w:line="185" w:lineRule="auto"/>
              <w:rPr/>
            </w:pPr>
            <w:r>
              <w:rPr>
                <w:color w:val="231F20"/>
                <w:spacing w:val="-10"/>
              </w:rPr>
              <w:t>900309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0"/>
              <w:spacing w:before="119" w:line="185" w:lineRule="auto"/>
              <w:rPr/>
            </w:pPr>
            <w:r>
              <w:rPr>
                <w:color w:val="231F20"/>
                <w:spacing w:val="-10"/>
              </w:rPr>
              <w:t>434924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5"/>
              <w:spacing w:before="119" w:line="185" w:lineRule="auto"/>
              <w:rPr/>
            </w:pPr>
            <w:r>
              <w:rPr>
                <w:color w:val="231F20"/>
                <w:spacing w:val="-8"/>
              </w:rPr>
              <w:t>48.31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6"/>
              <w:spacing w:before="119" w:line="185" w:lineRule="auto"/>
              <w:rPr/>
            </w:pPr>
            <w:r>
              <w:rPr>
                <w:color w:val="231F20"/>
                <w:spacing w:val="-10"/>
              </w:rPr>
              <w:t>353794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4"/>
              <w:spacing w:before="119" w:line="185" w:lineRule="auto"/>
              <w:rPr/>
            </w:pPr>
            <w:r>
              <w:rPr>
                <w:color w:val="231F20"/>
                <w:spacing w:val="-9"/>
              </w:rPr>
              <w:t>39.30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20" w:line="184" w:lineRule="auto"/>
              <w:rPr/>
            </w:pPr>
            <w:r>
              <w:rPr>
                <w:color w:val="231F20"/>
                <w:spacing w:val="-9"/>
              </w:rPr>
              <w:t>2019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555"/>
              <w:spacing w:before="120" w:line="184" w:lineRule="auto"/>
              <w:rPr/>
            </w:pPr>
            <w:r>
              <w:rPr>
                <w:color w:val="231F20"/>
                <w:spacing w:val="-10"/>
              </w:rPr>
              <w:t>990865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4"/>
              <w:spacing w:before="120" w:line="184" w:lineRule="auto"/>
              <w:rPr/>
            </w:pPr>
            <w:r>
              <w:rPr>
                <w:color w:val="231F20"/>
                <w:spacing w:val="-10"/>
              </w:rPr>
              <w:t>593075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9"/>
              <w:spacing w:before="120" w:line="184" w:lineRule="auto"/>
              <w:rPr/>
            </w:pPr>
            <w:r>
              <w:rPr>
                <w:color w:val="231F20"/>
                <w:spacing w:val="-9"/>
              </w:rPr>
              <w:t>59.85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0"/>
              <w:spacing w:before="120" w:line="184" w:lineRule="auto"/>
              <w:rPr/>
            </w:pPr>
            <w:r>
              <w:rPr>
                <w:color w:val="231F20"/>
                <w:spacing w:val="-10"/>
              </w:rPr>
              <w:t>483327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48"/>
              <w:spacing w:before="120" w:line="184" w:lineRule="auto"/>
              <w:rPr/>
            </w:pPr>
            <w:r>
              <w:rPr>
                <w:color w:val="231F20"/>
                <w:spacing w:val="-8"/>
              </w:rPr>
              <w:t>48.78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20" w:line="184" w:lineRule="auto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481"/>
              <w:spacing w:before="120" w:line="184" w:lineRule="auto"/>
              <w:rPr/>
            </w:pPr>
            <w:r>
              <w:rPr>
                <w:color w:val="231F20"/>
                <w:spacing w:val="-12"/>
              </w:rPr>
              <w:t>1015986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2"/>
              <w:spacing w:before="120" w:line="184" w:lineRule="auto"/>
              <w:rPr/>
            </w:pPr>
            <w:r>
              <w:rPr>
                <w:color w:val="231F20"/>
                <w:spacing w:val="-10"/>
              </w:rPr>
              <w:t>796487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7"/>
              <w:spacing w:before="120" w:line="184" w:lineRule="auto"/>
              <w:rPr/>
            </w:pPr>
            <w:r>
              <w:rPr>
                <w:color w:val="231F20"/>
                <w:spacing w:val="-9"/>
              </w:rPr>
              <w:t>78.47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4"/>
              <w:spacing w:before="120" w:line="184" w:lineRule="auto"/>
              <w:rPr/>
            </w:pPr>
            <w:r>
              <w:rPr>
                <w:color w:val="231F20"/>
                <w:spacing w:val="-10"/>
              </w:rPr>
              <w:t>643096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2"/>
              <w:spacing w:before="120" w:line="184" w:lineRule="auto"/>
              <w:rPr/>
            </w:pPr>
            <w:r>
              <w:rPr>
                <w:color w:val="231F20"/>
                <w:spacing w:val="-9"/>
              </w:rPr>
              <w:t>63.35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21" w:line="183" w:lineRule="auto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481"/>
              <w:spacing w:before="121" w:line="183" w:lineRule="auto"/>
              <w:rPr/>
            </w:pPr>
            <w:r>
              <w:rPr>
                <w:color w:val="231F20"/>
                <w:spacing w:val="-12"/>
              </w:rPr>
              <w:t>1143670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3"/>
              <w:spacing w:before="121" w:line="183" w:lineRule="auto"/>
              <w:rPr/>
            </w:pPr>
            <w:r>
              <w:rPr>
                <w:color w:val="231F20"/>
                <w:spacing w:val="-10"/>
              </w:rPr>
              <w:t>918811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60"/>
              <w:spacing w:before="121" w:line="183" w:lineRule="auto"/>
              <w:rPr/>
            </w:pPr>
            <w:r>
              <w:rPr>
                <w:color w:val="231F20"/>
                <w:spacing w:val="-9"/>
              </w:rPr>
              <w:t>80.10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2"/>
              <w:spacing w:before="121" w:line="183" w:lineRule="auto"/>
              <w:rPr/>
            </w:pPr>
            <w:r>
              <w:rPr>
                <w:color w:val="231F20"/>
                <w:spacing w:val="-10"/>
              </w:rPr>
              <w:t>752630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2"/>
              <w:spacing w:before="121" w:line="183" w:lineRule="auto"/>
              <w:rPr/>
            </w:pPr>
            <w:r>
              <w:rPr>
                <w:color w:val="231F20"/>
                <w:spacing w:val="-9"/>
              </w:rPr>
              <w:t>65.71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23" w:line="182" w:lineRule="auto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481"/>
              <w:spacing w:before="123" w:line="182" w:lineRule="auto"/>
              <w:rPr/>
            </w:pPr>
            <w:r>
              <w:rPr>
                <w:color w:val="231F20"/>
                <w:spacing w:val="-12"/>
              </w:rPr>
              <w:t>1210207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2"/>
              <w:spacing w:before="123" w:line="182" w:lineRule="auto"/>
              <w:rPr/>
            </w:pPr>
            <w:r>
              <w:rPr>
                <w:color w:val="231F20"/>
                <w:spacing w:val="-10"/>
              </w:rPr>
              <w:t>790116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9"/>
              <w:spacing w:before="123" w:line="182" w:lineRule="auto"/>
              <w:rPr/>
            </w:pPr>
            <w:r>
              <w:rPr>
                <w:color w:val="231F20"/>
                <w:spacing w:val="-9"/>
              </w:rPr>
              <w:t>65.29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4"/>
              <w:spacing w:before="123" w:line="182" w:lineRule="auto"/>
              <w:rPr/>
            </w:pPr>
            <w:r>
              <w:rPr>
                <w:color w:val="231F20"/>
                <w:spacing w:val="-10"/>
              </w:rPr>
              <w:t>664577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2"/>
              <w:spacing w:before="123" w:line="182" w:lineRule="auto"/>
              <w:rPr/>
            </w:pPr>
            <w:r>
              <w:rPr>
                <w:color w:val="231F20"/>
                <w:spacing w:val="-9"/>
              </w:rPr>
              <w:t>54.91</w:t>
            </w:r>
          </w:p>
        </w:tc>
      </w:tr>
      <w:tr>
        <w:trPr>
          <w:trHeight w:val="396" w:hRule="atLeast"/>
        </w:trPr>
        <w:tc>
          <w:tcPr>
            <w:shd w:val="clear" w:fill="D4E5F5"/>
            <w:tcW w:w="1389" w:type="dxa"/>
            <w:vAlign w:val="top"/>
          </w:tcPr>
          <w:p>
            <w:pPr>
              <w:pStyle w:val="TableText"/>
              <w:ind w:left="558"/>
              <w:spacing w:before="123" w:line="182" w:lineRule="auto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tcW w:w="1500" w:type="dxa"/>
            <w:vAlign w:val="top"/>
          </w:tcPr>
          <w:p>
            <w:pPr>
              <w:pStyle w:val="TableText"/>
              <w:ind w:left="481"/>
              <w:spacing w:before="123" w:line="182" w:lineRule="auto"/>
              <w:rPr/>
            </w:pPr>
            <w:r>
              <w:rPr>
                <w:color w:val="231F20"/>
                <w:spacing w:val="-12"/>
              </w:rPr>
              <w:t>1260582</w:t>
            </w:r>
          </w:p>
        </w:tc>
        <w:tc>
          <w:tcPr>
            <w:shd w:val="clear" w:fill="D4E5F5"/>
            <w:tcW w:w="1504" w:type="dxa"/>
            <w:vAlign w:val="top"/>
          </w:tcPr>
          <w:p>
            <w:pPr>
              <w:pStyle w:val="TableText"/>
              <w:ind w:left="462"/>
              <w:spacing w:before="123" w:line="182" w:lineRule="auto"/>
              <w:rPr/>
            </w:pPr>
            <w:r>
              <w:rPr>
                <w:color w:val="231F20"/>
                <w:spacing w:val="-10"/>
              </w:rPr>
              <w:t>777627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9"/>
              <w:spacing w:before="123" w:line="182" w:lineRule="auto"/>
              <w:rPr/>
            </w:pPr>
            <w:r>
              <w:rPr>
                <w:color w:val="231F20"/>
                <w:spacing w:val="-9"/>
              </w:rPr>
              <w:t>61.69</w:t>
            </w:r>
          </w:p>
        </w:tc>
        <w:tc>
          <w:tcPr>
            <w:shd w:val="clear" w:fill="D4E5F5"/>
            <w:tcW w:w="1464" w:type="dxa"/>
            <w:vAlign w:val="top"/>
          </w:tcPr>
          <w:p>
            <w:pPr>
              <w:pStyle w:val="TableText"/>
              <w:ind w:left="424"/>
              <w:spacing w:before="123" w:line="182" w:lineRule="auto"/>
              <w:rPr/>
            </w:pPr>
            <w:r>
              <w:rPr>
                <w:color w:val="231F20"/>
                <w:spacing w:val="-10"/>
              </w:rPr>
              <w:t>676605</w:t>
            </w:r>
          </w:p>
        </w:tc>
        <w:tc>
          <w:tcPr>
            <w:tcW w:w="1465" w:type="dxa"/>
            <w:vAlign w:val="top"/>
          </w:tcPr>
          <w:p>
            <w:pPr>
              <w:pStyle w:val="TableText"/>
              <w:ind w:left="552"/>
              <w:spacing w:before="123" w:line="182" w:lineRule="auto"/>
              <w:rPr/>
            </w:pPr>
            <w:r>
              <w:rPr>
                <w:color w:val="231F20"/>
                <w:spacing w:val="-9"/>
              </w:rPr>
              <w:t>53.67</w:t>
            </w:r>
          </w:p>
        </w:tc>
      </w:tr>
      <w:tr>
        <w:trPr>
          <w:trHeight w:val="403" w:hRule="atLeast"/>
        </w:trPr>
        <w:tc>
          <w:tcPr>
            <w:shd w:val="clear" w:fill="D4E5F5"/>
            <w:tcW w:w="138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58"/>
              <w:spacing w:before="124" w:line="186" w:lineRule="auto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  <w:tc>
          <w:tcPr>
            <w:tcW w:w="1500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81"/>
              <w:spacing w:before="124" w:line="186" w:lineRule="auto"/>
              <w:rPr/>
            </w:pPr>
            <w:r>
              <w:rPr>
                <w:color w:val="231F20"/>
                <w:spacing w:val="-12"/>
              </w:rPr>
              <w:t>1349084</w:t>
            </w:r>
          </w:p>
        </w:tc>
        <w:tc>
          <w:tcPr>
            <w:shd w:val="clear" w:fill="D4E5F5"/>
            <w:tcW w:w="150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65"/>
              <w:spacing w:before="124" w:line="186" w:lineRule="auto"/>
              <w:rPr/>
            </w:pPr>
            <w:r>
              <w:rPr>
                <w:color w:val="231F20"/>
                <w:spacing w:val="-10"/>
              </w:rPr>
              <w:t>860106</w:t>
            </w:r>
          </w:p>
        </w:tc>
        <w:tc>
          <w:tcPr>
            <w:tcW w:w="146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59"/>
              <w:spacing w:before="124" w:line="186" w:lineRule="auto"/>
              <w:rPr/>
            </w:pPr>
            <w:r>
              <w:rPr>
                <w:color w:val="231F20"/>
                <w:spacing w:val="-9"/>
              </w:rPr>
              <w:t>63.75</w:t>
            </w:r>
          </w:p>
        </w:tc>
        <w:tc>
          <w:tcPr>
            <w:shd w:val="clear" w:fill="D4E5F5"/>
            <w:tcW w:w="146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22"/>
              <w:spacing w:before="124" w:line="186" w:lineRule="auto"/>
              <w:rPr/>
            </w:pPr>
            <w:r>
              <w:rPr>
                <w:color w:val="231F20"/>
                <w:spacing w:val="-10"/>
              </w:rPr>
              <w:t>776467</w:t>
            </w:r>
          </w:p>
        </w:tc>
        <w:tc>
          <w:tcPr>
            <w:tcW w:w="146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52"/>
              <w:spacing w:before="124" w:line="186" w:lineRule="auto"/>
              <w:rPr/>
            </w:pPr>
            <w:r>
              <w:rPr>
                <w:color w:val="231F20"/>
                <w:spacing w:val="-9"/>
              </w:rPr>
              <w:t>57.56</w:t>
            </w:r>
          </w:p>
        </w:tc>
      </w:tr>
    </w:tbl>
    <w:p>
      <w:pPr>
        <w:pStyle w:val="BodyText"/>
        <w:ind w:left="352"/>
        <w:spacing w:before="194"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1"/>
        </w:rPr>
        <w:t>注：自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2021</w:t>
      </w:r>
      <w:r>
        <w:rPr>
          <w:sz w:val="18"/>
          <w:szCs w:val="18"/>
          <w:color w:val="231F20"/>
          <w:spacing w:val="-1"/>
        </w:rPr>
        <w:t>年起，市价总值、流通市值均为沪深股市和北交所股市的合计金额。</w:t>
      </w:r>
    </w:p>
    <w:p>
      <w:pPr>
        <w:pStyle w:val="BodyText"/>
        <w:ind w:left="354"/>
        <w:spacing w:before="1" w:line="197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数据来源：国家统计局、中国证监会。</w:t>
      </w:r>
    </w:p>
    <w:p>
      <w:pPr>
        <w:spacing w:line="197" w:lineRule="auto"/>
        <w:sectPr>
          <w:headerReference w:type="default" r:id="rId395"/>
          <w:pgSz w:w="11906" w:h="16158"/>
          <w:pgMar w:top="1383" w:right="1417" w:bottom="400" w:left="1700" w:header="1060" w:footer="0" w:gutter="0"/>
        </w:sectPr>
        <w:rPr>
          <w:sz w:val="18"/>
          <w:szCs w:val="18"/>
        </w:rPr>
      </w:pPr>
    </w:p>
    <w:p>
      <w:pPr>
        <w:pStyle w:val="BodyText"/>
        <w:spacing w:line="293" w:lineRule="auto"/>
        <w:rPr/>
      </w:pPr>
      <w:r/>
    </w:p>
    <w:p>
      <w:pPr>
        <w:pStyle w:val="BodyText"/>
        <w:ind w:left="429"/>
        <w:spacing w:before="102" w:line="163" w:lineRule="auto"/>
        <w:rPr/>
      </w:pPr>
      <w:r>
        <w:rPr>
          <w:color w:val="174B8B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</w:rPr>
        <w:t>17                           </w:t>
      </w:r>
      <w:r>
        <w:rPr>
          <w:color w:val="174B8B"/>
        </w:rPr>
        <w:t>境内股票筹资额和各项贷款增加额的比率</w:t>
      </w:r>
    </w:p>
    <w:p>
      <w:pPr>
        <w:pStyle w:val="BodyText"/>
        <w:ind w:left="6902"/>
        <w:spacing w:before="1" w:line="176" w:lineRule="auto"/>
        <w:rPr/>
      </w:pPr>
      <w:r>
        <w:rPr>
          <w:color w:val="231F20"/>
          <w:spacing w:val="-3"/>
        </w:rPr>
        <w:t>单位：亿元，%</w:t>
      </w:r>
    </w:p>
    <w:p>
      <w:pPr>
        <w:spacing w:line="81" w:lineRule="auto"/>
        <w:rPr>
          <w:rFonts w:ascii="Noto Sans CJK SC Regular"/>
          <w:sz w:val="2"/>
        </w:rPr>
      </w:pPr>
      <w:r>
        <w:rPr>
          <w:rFonts w:ascii="Noto Sans CJK SC Regular"/>
          <w:sz w:val="2"/>
        </w:rPr>
      </w:r>
    </w:p>
    <w:tbl>
      <w:tblPr>
        <w:tblStyle w:val="TableNormal"/>
        <w:tblW w:w="8777" w:type="dxa"/>
        <w:tblInd w:w="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68"/>
        <w:gridCol w:w="2419"/>
        <w:gridCol w:w="2376"/>
        <w:gridCol w:w="2014"/>
      </w:tblGrid>
      <w:tr>
        <w:trPr>
          <w:trHeight w:val="386" w:hRule="atLeast"/>
        </w:trPr>
        <w:tc>
          <w:tcPr>
            <w:tcW w:w="196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922"/>
              <w:spacing w:before="102" w:line="176" w:lineRule="auto"/>
              <w:rPr/>
            </w:pPr>
            <w:r>
              <w:drawing>
                <wp:anchor distT="0" distB="0" distL="0" distR="0" simplePos="0" relativeHeight="252728320" behindDoc="1" locked="0" layoutInCell="1" allowOverlap="1">
                  <wp:simplePos x="0" y="0"/>
                  <wp:positionH relativeFrom="column">
                    <wp:posOffset>5</wp:posOffset>
                  </wp:positionH>
                  <wp:positionV relativeFrom="paragraph">
                    <wp:posOffset>-6231</wp:posOffset>
                  </wp:positionV>
                  <wp:extent cx="4180484" cy="5796014"/>
                  <wp:effectExtent l="0" t="0" r="0" b="0"/>
                  <wp:wrapNone/>
                  <wp:docPr id="764" name="IM 7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4" name="IM 764"/>
                          <pic:cNvPicPr/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80484" cy="579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年份</w:t>
            </w:r>
          </w:p>
        </w:tc>
        <w:tc>
          <w:tcPr>
            <w:tcW w:w="241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96"/>
              <w:spacing w:before="101" w:line="177" w:lineRule="auto"/>
              <w:rPr/>
            </w:pPr>
            <w:r>
              <w:rPr>
                <w:color w:val="231F20"/>
                <w:spacing w:val="-1"/>
              </w:rPr>
              <w:t>境内股票筹资额</w:t>
            </w:r>
          </w:p>
        </w:tc>
        <w:tc>
          <w:tcPr>
            <w:tcW w:w="2376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472"/>
              <w:spacing w:before="100" w:line="179" w:lineRule="auto"/>
              <w:rPr/>
            </w:pPr>
            <w:r>
              <w:rPr>
                <w:color w:val="231F20"/>
                <w:spacing w:val="-1"/>
              </w:rPr>
              <w:t>各项贷款增加额</w:t>
            </w:r>
          </w:p>
        </w:tc>
        <w:tc>
          <w:tcPr>
            <w:tcW w:w="201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762"/>
              <w:spacing w:before="100" w:line="179" w:lineRule="auto"/>
              <w:rPr/>
            </w:pPr>
            <w:r>
              <w:rPr>
                <w:color w:val="231F20"/>
                <w:spacing w:val="-7"/>
              </w:rPr>
              <w:t>比率</w:t>
            </w:r>
          </w:p>
        </w:tc>
      </w:tr>
      <w:tr>
        <w:trPr>
          <w:trHeight w:val="388" w:hRule="atLeast"/>
        </w:trPr>
        <w:tc>
          <w:tcPr>
            <w:tcW w:w="196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923"/>
              <w:spacing w:before="98" w:line="194" w:lineRule="auto"/>
              <w:rPr/>
            </w:pPr>
            <w:r>
              <w:rPr>
                <w:color w:val="231F20"/>
                <w:spacing w:val="-9"/>
              </w:rPr>
              <w:t>2003</w:t>
            </w:r>
          </w:p>
        </w:tc>
        <w:tc>
          <w:tcPr>
            <w:tcW w:w="241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198"/>
              <w:spacing w:before="98" w:line="194" w:lineRule="auto"/>
              <w:rPr/>
            </w:pPr>
            <w:r>
              <w:rPr>
                <w:color w:val="231F20"/>
                <w:spacing w:val="-9"/>
              </w:rPr>
              <w:t>665.51</w:t>
            </w:r>
          </w:p>
        </w:tc>
        <w:tc>
          <w:tcPr>
            <w:tcW w:w="237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851"/>
              <w:spacing w:before="98" w:line="194" w:lineRule="auto"/>
              <w:rPr/>
            </w:pPr>
            <w:r>
              <w:rPr>
                <w:color w:val="231F20"/>
                <w:spacing w:val="-10"/>
              </w:rPr>
              <w:t>27652.00</w:t>
            </w:r>
          </w:p>
        </w:tc>
        <w:tc>
          <w:tcPr>
            <w:tcW w:w="201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43"/>
              <w:spacing w:before="98" w:line="194" w:lineRule="auto"/>
              <w:rPr/>
            </w:pPr>
            <w:r>
              <w:rPr>
                <w:color w:val="231F20"/>
                <w:spacing w:val="-8"/>
              </w:rPr>
              <w:t>2.41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07" w:line="193" w:lineRule="auto"/>
              <w:rPr/>
            </w:pPr>
            <w:r>
              <w:rPr>
                <w:color w:val="231F20"/>
                <w:spacing w:val="-9"/>
              </w:rPr>
              <w:t>2004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98"/>
              <w:spacing w:before="107" w:line="193" w:lineRule="auto"/>
              <w:rPr/>
            </w:pPr>
            <w:r>
              <w:rPr>
                <w:color w:val="231F20"/>
                <w:spacing w:val="-9"/>
              </w:rPr>
              <w:t>650.53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1"/>
              <w:spacing w:before="107" w:line="193" w:lineRule="auto"/>
              <w:rPr/>
            </w:pPr>
            <w:r>
              <w:rPr>
                <w:color w:val="231F20"/>
                <w:spacing w:val="-10"/>
              </w:rPr>
              <w:t>22648.00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3"/>
              <w:spacing w:before="107" w:line="193" w:lineRule="auto"/>
              <w:rPr/>
            </w:pPr>
            <w:r>
              <w:rPr>
                <w:color w:val="231F20"/>
                <w:spacing w:val="-8"/>
              </w:rPr>
              <w:t>2.87</w:t>
            </w:r>
          </w:p>
        </w:tc>
      </w:tr>
      <w:tr>
        <w:trPr>
          <w:trHeight w:val="397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08" w:line="193" w:lineRule="auto"/>
              <w:rPr/>
            </w:pPr>
            <w:r>
              <w:rPr>
                <w:color w:val="231F20"/>
                <w:spacing w:val="-9"/>
              </w:rPr>
              <w:t>2005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200"/>
              <w:spacing w:before="108" w:line="193" w:lineRule="auto"/>
              <w:rPr/>
            </w:pPr>
            <w:r>
              <w:rPr>
                <w:color w:val="231F20"/>
                <w:spacing w:val="-10"/>
              </w:rPr>
              <w:t>339.03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1"/>
              <w:spacing w:before="108" w:line="193" w:lineRule="auto"/>
              <w:rPr/>
            </w:pPr>
            <w:r>
              <w:rPr>
                <w:color w:val="231F20"/>
                <w:spacing w:val="-10"/>
              </w:rPr>
              <w:t>23543.82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58"/>
              <w:spacing w:before="108" w:line="193" w:lineRule="auto"/>
              <w:rPr/>
            </w:pPr>
            <w:r>
              <w:rPr>
                <w:color w:val="231F20"/>
                <w:spacing w:val="-11"/>
              </w:rPr>
              <w:t>1.44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07" w:line="193" w:lineRule="auto"/>
              <w:rPr/>
            </w:pPr>
            <w:r>
              <w:rPr>
                <w:color w:val="231F20"/>
                <w:spacing w:val="-9"/>
              </w:rPr>
              <w:t>2006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98"/>
              <w:spacing w:before="107" w:line="193" w:lineRule="auto"/>
              <w:rPr/>
            </w:pPr>
            <w:r>
              <w:rPr>
                <w:color w:val="231F20"/>
                <w:spacing w:val="-9"/>
              </w:rPr>
              <w:t>2374.5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4"/>
              <w:spacing w:before="107" w:line="193" w:lineRule="auto"/>
              <w:rPr/>
            </w:pPr>
            <w:r>
              <w:rPr>
                <w:color w:val="231F20"/>
                <w:spacing w:val="-10"/>
              </w:rPr>
              <w:t>31809.00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2"/>
              <w:spacing w:before="107" w:line="193" w:lineRule="auto"/>
              <w:rPr/>
            </w:pPr>
            <w:r>
              <w:rPr>
                <w:color w:val="231F20"/>
                <w:spacing w:val="-8"/>
              </w:rPr>
              <w:t>7.46</w:t>
            </w:r>
          </w:p>
        </w:tc>
      </w:tr>
      <w:tr>
        <w:trPr>
          <w:trHeight w:val="395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09" w:line="191" w:lineRule="auto"/>
              <w:rPr/>
            </w:pPr>
            <w:r>
              <w:rPr>
                <w:color w:val="231F20"/>
                <w:spacing w:val="-9"/>
              </w:rPr>
              <w:t>2007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07"/>
              <w:spacing w:before="109" w:line="191" w:lineRule="auto"/>
              <w:rPr/>
            </w:pPr>
            <w:r>
              <w:rPr>
                <w:color w:val="231F20"/>
                <w:spacing w:val="-9"/>
              </w:rPr>
              <w:t>7814.74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4"/>
              <w:spacing w:before="109" w:line="191" w:lineRule="auto"/>
              <w:rPr/>
            </w:pPr>
            <w:r>
              <w:rPr>
                <w:color w:val="231F20"/>
                <w:spacing w:val="-10"/>
              </w:rPr>
              <w:t>36322.51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654"/>
              <w:spacing w:before="109" w:line="191" w:lineRule="auto"/>
              <w:rPr/>
            </w:pPr>
            <w:r>
              <w:rPr>
                <w:color w:val="231F20"/>
                <w:spacing w:val="-9"/>
              </w:rPr>
              <w:t>21.51</w:t>
            </w:r>
          </w:p>
        </w:tc>
      </w:tr>
      <w:tr>
        <w:trPr>
          <w:trHeight w:val="397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1" w:line="191" w:lineRule="auto"/>
              <w:rPr/>
            </w:pPr>
            <w:r>
              <w:rPr>
                <w:color w:val="231F20"/>
                <w:spacing w:val="-9"/>
              </w:rPr>
              <w:t>2008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11"/>
              <w:spacing w:before="111" w:line="191" w:lineRule="auto"/>
              <w:rPr/>
            </w:pPr>
            <w:r>
              <w:rPr>
                <w:color w:val="231F20"/>
                <w:spacing w:val="-10"/>
              </w:rPr>
              <w:t>3312.39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48"/>
              <w:spacing w:before="111" w:line="191" w:lineRule="auto"/>
              <w:rPr/>
            </w:pPr>
            <w:r>
              <w:rPr>
                <w:color w:val="231F20"/>
                <w:spacing w:val="-9"/>
              </w:rPr>
              <w:t>49041.00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4"/>
              <w:spacing w:before="111" w:line="191" w:lineRule="auto"/>
              <w:rPr/>
            </w:pPr>
            <w:r>
              <w:rPr>
                <w:color w:val="231F20"/>
                <w:spacing w:val="-8"/>
              </w:rPr>
              <w:t>6.75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0" w:line="191" w:lineRule="auto"/>
              <w:rPr/>
            </w:pPr>
            <w:r>
              <w:rPr>
                <w:color w:val="231F20"/>
                <w:spacing w:val="-9"/>
              </w:rPr>
              <w:t>2009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06"/>
              <w:spacing w:before="110" w:line="191" w:lineRule="auto"/>
              <w:rPr/>
            </w:pPr>
            <w:r>
              <w:rPr>
                <w:color w:val="231F20"/>
                <w:spacing w:val="-9"/>
              </w:rPr>
              <w:t>4834.34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1"/>
              <w:spacing w:before="110" w:line="191" w:lineRule="auto"/>
              <w:rPr/>
            </w:pPr>
            <w:r>
              <w:rPr>
                <w:color w:val="231F20"/>
                <w:spacing w:val="-10"/>
              </w:rPr>
              <w:t>95941.63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4"/>
              <w:spacing w:before="110" w:line="191" w:lineRule="auto"/>
              <w:rPr/>
            </w:pPr>
            <w:r>
              <w:rPr>
                <w:color w:val="231F20"/>
                <w:spacing w:val="-8"/>
              </w:rPr>
              <w:t>5.04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1" w:line="190" w:lineRule="auto"/>
              <w:rPr/>
            </w:pPr>
            <w:r>
              <w:rPr>
                <w:color w:val="231F20"/>
                <w:spacing w:val="-9"/>
              </w:rPr>
              <w:t>2010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98"/>
              <w:spacing w:before="111" w:line="190" w:lineRule="auto"/>
              <w:rPr/>
            </w:pPr>
            <w:r>
              <w:rPr>
                <w:color w:val="231F20"/>
                <w:spacing w:val="-9"/>
              </w:rPr>
              <w:t>9799.8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0"/>
              <w:spacing w:before="111" w:line="190" w:lineRule="auto"/>
              <w:rPr/>
            </w:pPr>
            <w:r>
              <w:rPr>
                <w:color w:val="231F20"/>
                <w:spacing w:val="-10"/>
              </w:rPr>
              <w:t>79450.29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669"/>
              <w:spacing w:before="111" w:line="190" w:lineRule="auto"/>
              <w:rPr/>
            </w:pPr>
            <w:r>
              <w:rPr>
                <w:color w:val="231F20"/>
                <w:spacing w:val="-11"/>
              </w:rPr>
              <w:t>12.33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1" w:line="190" w:lineRule="auto"/>
              <w:rPr/>
            </w:pPr>
            <w:r>
              <w:rPr>
                <w:color w:val="231F20"/>
                <w:spacing w:val="-9"/>
              </w:rPr>
              <w:t>2011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07"/>
              <w:spacing w:before="111" w:line="190" w:lineRule="auto"/>
              <w:rPr/>
            </w:pPr>
            <w:r>
              <w:rPr>
                <w:color w:val="231F20"/>
                <w:spacing w:val="-9"/>
              </w:rPr>
              <w:t>7154.43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0"/>
              <w:spacing w:before="111" w:line="190" w:lineRule="auto"/>
              <w:rPr/>
            </w:pPr>
            <w:r>
              <w:rPr>
                <w:color w:val="231F20"/>
                <w:spacing w:val="-10"/>
              </w:rPr>
              <w:t>74715.39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3"/>
              <w:spacing w:before="111" w:line="190" w:lineRule="auto"/>
              <w:rPr/>
            </w:pPr>
            <w:r>
              <w:rPr>
                <w:color w:val="231F20"/>
                <w:spacing w:val="-8"/>
              </w:rPr>
              <w:t>9.58</w:t>
            </w:r>
          </w:p>
        </w:tc>
      </w:tr>
      <w:tr>
        <w:trPr>
          <w:trHeight w:val="395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3" w:line="188" w:lineRule="auto"/>
              <w:rPr/>
            </w:pPr>
            <w:r>
              <w:rPr>
                <w:color w:val="231F20"/>
                <w:spacing w:val="-9"/>
              </w:rPr>
              <w:t>2012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95"/>
              <w:spacing w:before="113" w:line="188" w:lineRule="auto"/>
              <w:rPr/>
            </w:pPr>
            <w:r>
              <w:rPr>
                <w:color w:val="231F20"/>
                <w:spacing w:val="-9"/>
              </w:rPr>
              <w:t>4542.4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3"/>
              <w:spacing w:before="113" w:line="188" w:lineRule="auto"/>
              <w:rPr/>
            </w:pPr>
            <w:r>
              <w:rPr>
                <w:color w:val="231F20"/>
                <w:spacing w:val="-10"/>
              </w:rPr>
              <w:t>82037.63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4"/>
              <w:spacing w:before="113" w:line="188" w:lineRule="auto"/>
              <w:rPr/>
            </w:pPr>
            <w:r>
              <w:rPr>
                <w:color w:val="231F20"/>
                <w:spacing w:val="-8"/>
              </w:rPr>
              <w:t>5.54</w:t>
            </w:r>
          </w:p>
        </w:tc>
      </w:tr>
      <w:tr>
        <w:trPr>
          <w:trHeight w:val="397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5" w:line="188" w:lineRule="auto"/>
              <w:rPr/>
            </w:pPr>
            <w:r>
              <w:rPr>
                <w:color w:val="231F20"/>
                <w:spacing w:val="-9"/>
              </w:rPr>
              <w:t>2013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06"/>
              <w:spacing w:before="115" w:line="188" w:lineRule="auto"/>
              <w:rPr/>
            </w:pPr>
            <w:r>
              <w:rPr>
                <w:color w:val="231F20"/>
                <w:spacing w:val="-9"/>
              </w:rPr>
              <w:t>4131.46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3"/>
              <w:spacing w:before="115" w:line="188" w:lineRule="auto"/>
              <w:rPr/>
            </w:pPr>
            <w:r>
              <w:rPr>
                <w:color w:val="231F20"/>
                <w:spacing w:val="-10"/>
              </w:rPr>
              <w:t>88916.22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1"/>
              <w:spacing w:before="115" w:line="188" w:lineRule="auto"/>
              <w:rPr/>
            </w:pPr>
            <w:r>
              <w:rPr>
                <w:color w:val="231F20"/>
                <w:spacing w:val="-8"/>
              </w:rPr>
              <w:t>4.65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4" w:line="188" w:lineRule="auto"/>
              <w:rPr/>
            </w:pPr>
            <w:r>
              <w:rPr>
                <w:color w:val="231F20"/>
                <w:spacing w:val="-9"/>
              </w:rPr>
              <w:t>2014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110"/>
              <w:spacing w:before="114" w:line="188" w:lineRule="auto"/>
              <w:rPr/>
            </w:pPr>
            <w:r>
              <w:rPr>
                <w:color w:val="231F20"/>
                <w:spacing w:val="-10"/>
              </w:rPr>
              <w:t>8498.26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851"/>
              <w:spacing w:before="114" w:line="188" w:lineRule="auto"/>
              <w:rPr/>
            </w:pPr>
            <w:r>
              <w:rPr>
                <w:color w:val="231F20"/>
                <w:spacing w:val="-10"/>
              </w:rPr>
              <w:t>97815.77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6"/>
              <w:spacing w:before="114" w:line="188" w:lineRule="auto"/>
              <w:rPr/>
            </w:pPr>
            <w:r>
              <w:rPr>
                <w:color w:val="231F20"/>
                <w:spacing w:val="-8"/>
              </w:rPr>
              <w:t>8.69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6" w:line="187" w:lineRule="auto"/>
              <w:rPr/>
            </w:pPr>
            <w:r>
              <w:rPr>
                <w:color w:val="231F20"/>
                <w:spacing w:val="-9"/>
              </w:rPr>
              <w:t>2015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034"/>
              <w:spacing w:before="116" w:line="187" w:lineRule="auto"/>
              <w:rPr/>
            </w:pPr>
            <w:r>
              <w:rPr>
                <w:color w:val="231F20"/>
                <w:spacing w:val="-11"/>
              </w:rPr>
              <w:t>16361.62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777"/>
              <w:spacing w:before="116" w:line="187" w:lineRule="auto"/>
              <w:rPr/>
            </w:pPr>
            <w:r>
              <w:rPr>
                <w:color w:val="231F20"/>
                <w:spacing w:val="-11"/>
              </w:rPr>
              <w:t>117238.60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669"/>
              <w:spacing w:before="116" w:line="187" w:lineRule="auto"/>
              <w:rPr/>
            </w:pPr>
            <w:r>
              <w:rPr>
                <w:color w:val="231F20"/>
                <w:spacing w:val="-11"/>
              </w:rPr>
              <w:t>13.96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6" w:line="187" w:lineRule="auto"/>
              <w:rPr/>
            </w:pPr>
            <w:r>
              <w:rPr>
                <w:color w:val="231F20"/>
                <w:spacing w:val="-9"/>
              </w:rPr>
              <w:t>2016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019"/>
              <w:spacing w:before="116" w:line="187" w:lineRule="auto"/>
              <w:rPr/>
            </w:pPr>
            <w:r>
              <w:rPr>
                <w:color w:val="231F20"/>
                <w:spacing w:val="-10"/>
              </w:rPr>
              <w:t>20297.39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777"/>
              <w:spacing w:before="116" w:line="187" w:lineRule="auto"/>
              <w:rPr/>
            </w:pPr>
            <w:r>
              <w:rPr>
                <w:color w:val="231F20"/>
                <w:spacing w:val="-11"/>
              </w:rPr>
              <w:t>126496.23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669"/>
              <w:spacing w:before="116" w:line="187" w:lineRule="auto"/>
              <w:rPr/>
            </w:pPr>
            <w:r>
              <w:rPr>
                <w:color w:val="231F20"/>
                <w:spacing w:val="-11"/>
              </w:rPr>
              <w:t>16.05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7" w:line="186" w:lineRule="auto"/>
              <w:rPr/>
            </w:pPr>
            <w:r>
              <w:rPr>
                <w:color w:val="231F20"/>
                <w:spacing w:val="-9"/>
              </w:rPr>
              <w:t>2017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034"/>
              <w:spacing w:before="117" w:line="186" w:lineRule="auto"/>
              <w:rPr/>
            </w:pPr>
            <w:r>
              <w:rPr>
                <w:color w:val="231F20"/>
                <w:spacing w:val="-11"/>
              </w:rPr>
              <w:t>15534.98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777"/>
              <w:spacing w:before="117" w:line="186" w:lineRule="auto"/>
              <w:rPr/>
            </w:pPr>
            <w:r>
              <w:rPr>
                <w:color w:val="231F20"/>
                <w:spacing w:val="-11"/>
              </w:rPr>
              <w:t>135277.81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669"/>
              <w:spacing w:before="117" w:line="186" w:lineRule="auto"/>
              <w:rPr/>
            </w:pPr>
            <w:r>
              <w:rPr>
                <w:color w:val="231F20"/>
                <w:spacing w:val="-11"/>
              </w:rPr>
              <w:t>11.48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9" w:line="185" w:lineRule="auto"/>
              <w:rPr/>
            </w:pPr>
            <w:r>
              <w:rPr>
                <w:color w:val="231F20"/>
                <w:spacing w:val="-9"/>
              </w:rPr>
              <w:t>2018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034"/>
              <w:spacing w:before="119" w:line="185" w:lineRule="auto"/>
              <w:rPr/>
            </w:pPr>
            <w:r>
              <w:rPr>
                <w:color w:val="231F20"/>
                <w:spacing w:val="-11"/>
              </w:rPr>
              <w:t>11377.88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777"/>
              <w:spacing w:before="119" w:line="185" w:lineRule="auto"/>
              <w:rPr/>
            </w:pPr>
            <w:r>
              <w:rPr>
                <w:color w:val="231F20"/>
                <w:spacing w:val="-11"/>
              </w:rPr>
              <w:t>161704.90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2"/>
              <w:spacing w:before="119" w:line="185" w:lineRule="auto"/>
              <w:rPr/>
            </w:pPr>
            <w:r>
              <w:rPr>
                <w:color w:val="231F20"/>
                <w:spacing w:val="-8"/>
              </w:rPr>
              <w:t>7.04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19" w:line="185" w:lineRule="auto"/>
              <w:rPr/>
            </w:pPr>
            <w:r>
              <w:rPr>
                <w:color w:val="231F20"/>
                <w:spacing w:val="-9"/>
              </w:rPr>
              <w:t>2019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034"/>
              <w:spacing w:before="119" w:line="185" w:lineRule="auto"/>
              <w:rPr/>
            </w:pPr>
            <w:r>
              <w:rPr>
                <w:color w:val="231F20"/>
                <w:spacing w:val="-11"/>
              </w:rPr>
              <w:t>12538.82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777"/>
              <w:spacing w:before="119" w:line="185" w:lineRule="auto"/>
              <w:rPr/>
            </w:pPr>
            <w:r>
              <w:rPr>
                <w:color w:val="231F20"/>
                <w:spacing w:val="-11"/>
              </w:rPr>
              <w:t>168144.09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2"/>
              <w:spacing w:before="119" w:line="185" w:lineRule="auto"/>
              <w:rPr/>
            </w:pPr>
            <w:r>
              <w:rPr>
                <w:color w:val="231F20"/>
                <w:spacing w:val="-8"/>
              </w:rPr>
              <w:t>7.46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20" w:line="184" w:lineRule="auto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034"/>
              <w:spacing w:before="120" w:line="184" w:lineRule="auto"/>
              <w:rPr/>
            </w:pPr>
            <w:r>
              <w:rPr>
                <w:color w:val="231F20"/>
                <w:spacing w:val="-11"/>
              </w:rPr>
              <w:t>14221.58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777"/>
              <w:spacing w:before="120" w:line="184" w:lineRule="auto"/>
              <w:rPr/>
            </w:pPr>
            <w:r>
              <w:rPr>
                <w:color w:val="231F20"/>
                <w:spacing w:val="-11"/>
              </w:rPr>
              <w:t>196340.43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2"/>
              <w:spacing w:before="120" w:line="184" w:lineRule="auto"/>
              <w:rPr/>
            </w:pPr>
            <w:r>
              <w:rPr>
                <w:color w:val="231F20"/>
                <w:spacing w:val="-8"/>
              </w:rPr>
              <w:t>7.24</w:t>
            </w:r>
          </w:p>
        </w:tc>
      </w:tr>
      <w:tr>
        <w:trPr>
          <w:trHeight w:val="396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20" w:line="184" w:lineRule="auto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034"/>
              <w:spacing w:before="120" w:line="184" w:lineRule="auto"/>
              <w:rPr/>
            </w:pPr>
            <w:r>
              <w:rPr>
                <w:color w:val="231F20"/>
                <w:spacing w:val="-11"/>
              </w:rPr>
              <w:t>15422.00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777"/>
              <w:spacing w:before="120" w:line="184" w:lineRule="auto"/>
              <w:rPr/>
            </w:pPr>
            <w:r>
              <w:rPr>
                <w:color w:val="231F20"/>
                <w:spacing w:val="-11"/>
              </w:rPr>
              <w:t>199489.96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2"/>
              <w:spacing w:before="120" w:line="184" w:lineRule="auto"/>
              <w:rPr/>
            </w:pPr>
            <w:r>
              <w:rPr>
                <w:color w:val="231F20"/>
                <w:spacing w:val="-8"/>
              </w:rPr>
              <w:t>7.73</w:t>
            </w:r>
          </w:p>
        </w:tc>
      </w:tr>
      <w:tr>
        <w:trPr>
          <w:trHeight w:val="395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22" w:line="182" w:lineRule="auto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034"/>
              <w:spacing w:before="122" w:line="182" w:lineRule="auto"/>
              <w:rPr/>
            </w:pPr>
            <w:r>
              <w:rPr>
                <w:color w:val="231F20"/>
                <w:spacing w:val="-11"/>
              </w:rPr>
              <w:t>14341.99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762"/>
              <w:spacing w:before="122" w:line="182" w:lineRule="auto"/>
              <w:rPr/>
            </w:pPr>
            <w:r>
              <w:rPr>
                <w:color w:val="231F20"/>
                <w:spacing w:val="-10"/>
              </w:rPr>
              <w:t>213097.18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4"/>
              <w:spacing w:before="122" w:line="182" w:lineRule="auto"/>
              <w:rPr/>
            </w:pPr>
            <w:r>
              <w:rPr>
                <w:color w:val="231F20"/>
                <w:spacing w:val="-8"/>
              </w:rPr>
              <w:t>6.73</w:t>
            </w:r>
          </w:p>
        </w:tc>
      </w:tr>
      <w:tr>
        <w:trPr>
          <w:trHeight w:val="395" w:hRule="atLeast"/>
        </w:trPr>
        <w:tc>
          <w:tcPr>
            <w:tcW w:w="1968" w:type="dxa"/>
            <w:vAlign w:val="top"/>
          </w:tcPr>
          <w:p>
            <w:pPr>
              <w:pStyle w:val="TableText"/>
              <w:ind w:left="923"/>
              <w:spacing w:before="123" w:line="181" w:lineRule="auto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tcW w:w="2419" w:type="dxa"/>
            <w:vAlign w:val="top"/>
          </w:tcPr>
          <w:p>
            <w:pPr>
              <w:pStyle w:val="TableText"/>
              <w:ind w:left="1034"/>
              <w:spacing w:before="123" w:line="181" w:lineRule="auto"/>
              <w:rPr/>
            </w:pPr>
            <w:r>
              <w:rPr>
                <w:color w:val="231F20"/>
                <w:spacing w:val="-11"/>
              </w:rPr>
              <w:t>10056.35</w:t>
            </w:r>
          </w:p>
        </w:tc>
        <w:tc>
          <w:tcPr>
            <w:tcW w:w="2376" w:type="dxa"/>
            <w:vAlign w:val="top"/>
          </w:tcPr>
          <w:p>
            <w:pPr>
              <w:pStyle w:val="TableText"/>
              <w:ind w:left="762"/>
              <w:spacing w:before="123" w:line="181" w:lineRule="auto"/>
              <w:rPr/>
            </w:pPr>
            <w:r>
              <w:rPr>
                <w:color w:val="231F20"/>
                <w:spacing w:val="-10"/>
              </w:rPr>
              <w:t>227462.87</w:t>
            </w:r>
          </w:p>
        </w:tc>
        <w:tc>
          <w:tcPr>
            <w:tcW w:w="2014" w:type="dxa"/>
            <w:vAlign w:val="top"/>
          </w:tcPr>
          <w:p>
            <w:pPr>
              <w:pStyle w:val="TableText"/>
              <w:ind w:left="741"/>
              <w:spacing w:before="123" w:line="181" w:lineRule="auto"/>
              <w:rPr/>
            </w:pPr>
            <w:r>
              <w:rPr>
                <w:color w:val="231F20"/>
                <w:spacing w:val="-8"/>
              </w:rPr>
              <w:t>4.42</w:t>
            </w:r>
          </w:p>
        </w:tc>
      </w:tr>
      <w:tr>
        <w:trPr>
          <w:trHeight w:val="404" w:hRule="atLeast"/>
        </w:trPr>
        <w:tc>
          <w:tcPr>
            <w:tcW w:w="196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923"/>
              <w:spacing w:before="125" w:line="186" w:lineRule="auto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  <w:tc>
          <w:tcPr>
            <w:tcW w:w="241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108"/>
              <w:spacing w:before="125" w:line="186" w:lineRule="auto"/>
              <w:rPr/>
            </w:pPr>
            <w:r>
              <w:rPr>
                <w:color w:val="231F20"/>
                <w:spacing w:val="-9"/>
              </w:rPr>
              <w:t>2606.48</w:t>
            </w:r>
          </w:p>
        </w:tc>
        <w:tc>
          <w:tcPr>
            <w:tcW w:w="237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777"/>
              <w:spacing w:before="125" w:line="186" w:lineRule="auto"/>
              <w:rPr/>
            </w:pPr>
            <w:r>
              <w:rPr>
                <w:color w:val="231F20"/>
                <w:spacing w:val="-11"/>
              </w:rPr>
              <w:t>180905.43</w:t>
            </w:r>
          </w:p>
        </w:tc>
        <w:tc>
          <w:tcPr>
            <w:tcW w:w="201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758"/>
              <w:spacing w:before="125" w:line="186" w:lineRule="auto"/>
              <w:rPr/>
            </w:pPr>
            <w:r>
              <w:rPr>
                <w:color w:val="231F20"/>
                <w:spacing w:val="-11"/>
              </w:rPr>
              <w:t>1.44</w:t>
            </w:r>
          </w:p>
        </w:tc>
      </w:tr>
    </w:tbl>
    <w:p>
      <w:pPr>
        <w:pStyle w:val="BodyText"/>
        <w:ind w:left="352"/>
        <w:spacing w:before="166"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注：①  自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2015</w:t>
      </w:r>
      <w:r>
        <w:rPr>
          <w:sz w:val="18"/>
          <w:szCs w:val="18"/>
          <w:color w:val="231F20"/>
          <w:spacing w:val="-2"/>
        </w:rPr>
        <w:t>年起，“各项贷款”包含银行业金融机构拆放给非银行业金融机构的款项。</w:t>
      </w:r>
    </w:p>
    <w:p>
      <w:pPr>
        <w:pStyle w:val="BodyText"/>
        <w:ind w:left="703"/>
        <w:spacing w:line="211" w:lineRule="exact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②</w:t>
      </w:r>
      <w:r>
        <w:rPr>
          <w:sz w:val="18"/>
          <w:szCs w:val="18"/>
          <w:color w:val="231F20"/>
          <w:spacing w:val="17"/>
        </w:rPr>
        <w:t xml:space="preserve"> </w:t>
      </w:r>
      <w:r>
        <w:rPr>
          <w:sz w:val="18"/>
          <w:szCs w:val="18"/>
          <w:color w:val="231F20"/>
          <w:spacing w:val="-2"/>
        </w:rPr>
        <w:t>境内股票筹资额不含可转债转股金额。</w:t>
      </w:r>
    </w:p>
    <w:p>
      <w:pPr>
        <w:pStyle w:val="BodyText"/>
        <w:ind w:left="354" w:right="1739" w:firstLine="349"/>
        <w:spacing w:before="2" w:line="191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1"/>
        </w:rPr>
        <w:t>③  自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2021</w:t>
      </w:r>
      <w:r>
        <w:rPr>
          <w:sz w:val="18"/>
          <w:szCs w:val="18"/>
          <w:color w:val="231F20"/>
          <w:spacing w:val="-1"/>
        </w:rPr>
        <w:t>年起，境内股票筹资额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=</w:t>
      </w:r>
      <w:r>
        <w:rPr>
          <w:sz w:val="18"/>
          <w:szCs w:val="18"/>
          <w:color w:val="231F20"/>
          <w:spacing w:val="-2"/>
        </w:rPr>
        <w:t>沪深股市股票筹资额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+</w:t>
      </w:r>
      <w:r>
        <w:rPr>
          <w:sz w:val="18"/>
          <w:szCs w:val="18"/>
          <w:color w:val="231F20"/>
          <w:spacing w:val="-2"/>
        </w:rPr>
        <w:t>北交所市场股票筹资额。</w:t>
      </w:r>
      <w:r>
        <w:rPr>
          <w:sz w:val="18"/>
          <w:szCs w:val="18"/>
          <w:color w:val="231F20"/>
        </w:rPr>
        <w:t xml:space="preserve"> </w:t>
      </w:r>
      <w:r>
        <w:rPr>
          <w:sz w:val="18"/>
          <w:szCs w:val="18"/>
          <w:color w:val="231F20"/>
          <w:spacing w:val="-2"/>
        </w:rPr>
        <w:t>数据来源：根据中国证监会、中国人民银行数据整理。</w:t>
      </w:r>
    </w:p>
    <w:p>
      <w:pPr>
        <w:spacing w:line="191" w:lineRule="auto"/>
        <w:sectPr>
          <w:headerReference w:type="default" r:id="rId396"/>
          <w:pgSz w:w="11906" w:h="16158"/>
          <w:pgMar w:top="1367" w:right="1700" w:bottom="400" w:left="1417" w:header="1044" w:footer="0" w:gutter="0"/>
        </w:sectPr>
        <w:rPr>
          <w:sz w:val="18"/>
          <w:szCs w:val="18"/>
        </w:rPr>
      </w:pPr>
    </w:p>
    <w:p>
      <w:pPr>
        <w:pStyle w:val="BodyText"/>
        <w:spacing w:line="284" w:lineRule="auto"/>
        <w:rPr/>
      </w:pPr>
      <w:r/>
    </w:p>
    <w:p>
      <w:pPr>
        <w:pStyle w:val="BodyText"/>
        <w:ind w:left="500"/>
        <w:spacing w:before="101" w:line="208" w:lineRule="auto"/>
        <w:rPr/>
      </w:pPr>
      <w:r>
        <w:rPr>
          <w:color w:val="174B8B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</w:rPr>
        <w:t>18 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                                                 </w:t>
      </w:r>
      <w:r>
        <w:rPr>
          <w:color w:val="174B8B"/>
          <w:spacing w:val="-1"/>
        </w:rPr>
        <w:t>股票市场概况统计表</w:t>
      </w:r>
    </w:p>
    <w:p>
      <w:pPr>
        <w:spacing w:line="124" w:lineRule="exact"/>
        <w:rPr/>
      </w:pPr>
      <w:r/>
    </w:p>
    <w:tbl>
      <w:tblPr>
        <w:tblStyle w:val="TableNormal"/>
        <w:tblW w:w="897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642"/>
        <w:gridCol w:w="1667"/>
        <w:gridCol w:w="982"/>
        <w:gridCol w:w="984"/>
        <w:gridCol w:w="957"/>
        <w:gridCol w:w="949"/>
        <w:gridCol w:w="950"/>
        <w:gridCol w:w="841"/>
      </w:tblGrid>
      <w:tr>
        <w:trPr>
          <w:trHeight w:val="386" w:hRule="atLeast"/>
        </w:trPr>
        <w:tc>
          <w:tcPr>
            <w:tcW w:w="8972" w:type="dxa"/>
            <w:vAlign w:val="top"/>
            <w:gridSpan w:val="8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275"/>
              <w:spacing w:before="97" w:line="193" w:lineRule="auto"/>
              <w:rPr/>
            </w:pPr>
            <w:r>
              <w:drawing>
                <wp:anchor distT="0" distB="0" distL="0" distR="0" simplePos="0" relativeHeight="252738560" behindDoc="1" locked="0" layoutInCell="1" allowOverlap="1">
                  <wp:simplePos x="0" y="0"/>
                  <wp:positionH relativeFrom="column">
                    <wp:posOffset>-1</wp:posOffset>
                  </wp:positionH>
                  <wp:positionV relativeFrom="paragraph">
                    <wp:posOffset>-6519</wp:posOffset>
                  </wp:positionV>
                  <wp:extent cx="5697728" cy="7311175"/>
                  <wp:effectExtent l="0" t="0" r="0" b="0"/>
                  <wp:wrapNone/>
                  <wp:docPr id="766" name="IM 7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6" name="IM 766"/>
                          <pic:cNvPicPr/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97728" cy="73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5"/>
              </w:rPr>
              <w:t>年          份</w:t>
            </w:r>
            <w:r>
              <w:rPr>
                <w:color w:val="231F20"/>
                <w:spacing w:val="1"/>
              </w:rPr>
              <w:t xml:space="preserve">                      </w:t>
            </w:r>
            <w:r>
              <w:rPr>
                <w:color w:val="231F20"/>
              </w:rPr>
              <w:t xml:space="preserve">               </w:t>
            </w:r>
            <w:r>
              <w:rPr>
                <w:color w:val="231F20"/>
                <w:spacing w:val="-5"/>
              </w:rPr>
              <w:t>2019                2020                  2021                </w:t>
            </w:r>
            <w:r>
              <w:rPr>
                <w:color w:val="231F20"/>
                <w:spacing w:val="-6"/>
              </w:rPr>
              <w:t>2022                 2023                2024</w:t>
            </w:r>
          </w:p>
        </w:tc>
      </w:tr>
      <w:tr>
        <w:trPr>
          <w:trHeight w:val="9115" w:hRule="atLeast"/>
        </w:trPr>
        <w:tc>
          <w:tcPr>
            <w:tcW w:w="3309" w:type="dxa"/>
            <w:vAlign w:val="top"/>
            <w:gridSpan w:val="2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64"/>
              <w:spacing w:before="103" w:line="199" w:lineRule="auto"/>
              <w:rPr/>
            </w:pPr>
            <w:r>
              <w:rPr>
                <w:color w:val="231F20"/>
                <w:spacing w:val="3"/>
              </w:rPr>
              <w:t>沪深股市上市公司数（A、B股</w:t>
            </w:r>
            <w:r>
              <w:rPr>
                <w:color w:val="231F20"/>
                <w:spacing w:val="-15"/>
                <w:w w:val="95"/>
              </w:rPr>
              <w:t>）（</w:t>
            </w:r>
            <w:r>
              <w:rPr>
                <w:color w:val="231F20"/>
                <w:spacing w:val="3"/>
              </w:rPr>
              <w:t>家）</w:t>
            </w:r>
          </w:p>
          <w:p>
            <w:pPr>
              <w:pStyle w:val="TableText"/>
              <w:ind w:left="283"/>
              <w:spacing w:before="113" w:line="176" w:lineRule="auto"/>
              <w:rPr/>
            </w:pPr>
            <w:r>
              <w:rPr>
                <w:color w:val="231F20"/>
                <w:spacing w:val="-2"/>
              </w:rPr>
              <w:t>其中：ST公司数（家）</w:t>
            </w:r>
          </w:p>
          <w:p>
            <w:pPr>
              <w:pStyle w:val="TableText"/>
              <w:ind w:left="798"/>
              <w:spacing w:before="144" w:line="174" w:lineRule="auto"/>
              <w:rPr/>
            </w:pPr>
            <w:r>
              <w:rPr>
                <w:color w:val="231F20"/>
                <w:spacing w:val="-2"/>
              </w:rPr>
              <w:t>中小板公司数（家）</w:t>
            </w:r>
          </w:p>
          <w:p>
            <w:pPr>
              <w:pStyle w:val="TableText"/>
              <w:ind w:left="779"/>
              <w:spacing w:before="145" w:line="174" w:lineRule="auto"/>
              <w:rPr/>
            </w:pPr>
            <w:r>
              <w:rPr>
                <w:color w:val="231F20"/>
              </w:rPr>
              <w:t>创业板公司数（家）</w:t>
            </w:r>
          </w:p>
          <w:p>
            <w:pPr>
              <w:pStyle w:val="TableText"/>
              <w:ind w:left="778"/>
              <w:spacing w:before="145" w:line="174" w:lineRule="auto"/>
              <w:rPr/>
            </w:pPr>
            <w:r>
              <w:rPr>
                <w:color w:val="231F20"/>
              </w:rPr>
              <w:t>科创板公司数（家）</w:t>
            </w:r>
          </w:p>
          <w:p>
            <w:pPr>
              <w:pStyle w:val="TableText"/>
              <w:ind w:left="64"/>
              <w:spacing w:before="141" w:line="199" w:lineRule="auto"/>
              <w:rPr/>
            </w:pPr>
            <w:r>
              <w:rPr>
                <w:color w:val="231F20"/>
                <w:spacing w:val="4"/>
              </w:rPr>
              <w:t>沪深股市上市外资股（B股</w:t>
            </w:r>
            <w:r>
              <w:rPr>
                <w:color w:val="231F20"/>
                <w:spacing w:val="-14"/>
                <w:w w:val="89"/>
              </w:rPr>
              <w:t>）（</w:t>
            </w:r>
            <w:r>
              <w:rPr>
                <w:color w:val="231F20"/>
                <w:spacing w:val="4"/>
              </w:rPr>
              <w:t>家）</w:t>
            </w:r>
          </w:p>
          <w:p>
            <w:pPr>
              <w:pStyle w:val="TableText"/>
              <w:ind w:left="239"/>
              <w:spacing w:before="113" w:line="176" w:lineRule="auto"/>
              <w:rPr/>
            </w:pPr>
            <w:r>
              <w:rPr>
                <w:color w:val="231F20"/>
                <w:spacing w:val="-2"/>
              </w:rPr>
              <w:t>其中：ST公司数（家）</w:t>
            </w:r>
          </w:p>
          <w:p>
            <w:pPr>
              <w:pStyle w:val="TableText"/>
              <w:ind w:left="780"/>
              <w:spacing w:before="139" w:line="199" w:lineRule="auto"/>
              <w:rPr/>
            </w:pPr>
            <w:r>
              <w:rPr>
                <w:color w:val="231F20"/>
              </w:rPr>
              <w:t>北交所市场上市公司数（家）</w:t>
            </w:r>
          </w:p>
          <w:p>
            <w:pPr>
              <w:pStyle w:val="TableText"/>
              <w:ind w:left="784"/>
              <w:spacing w:before="111" w:line="178" w:lineRule="auto"/>
              <w:rPr/>
            </w:pPr>
            <w:r>
              <w:rPr>
                <w:color w:val="231F20"/>
                <w:spacing w:val="-1"/>
              </w:rPr>
              <w:t>沪深股市总发行股本（亿股）</w:t>
            </w:r>
          </w:p>
          <w:p>
            <w:pPr>
              <w:pStyle w:val="TableText"/>
              <w:ind w:left="239"/>
              <w:spacing w:before="143" w:line="178" w:lineRule="auto"/>
              <w:rPr/>
            </w:pPr>
            <w:r>
              <w:rPr>
                <w:color w:val="231F20"/>
                <w:spacing w:val="-1"/>
              </w:rPr>
              <w:t>其中：中小板总发行股本</w:t>
            </w:r>
          </w:p>
          <w:p>
            <w:pPr>
              <w:pStyle w:val="TableText"/>
              <w:ind w:left="779"/>
              <w:spacing w:before="141" w:line="176" w:lineRule="auto"/>
              <w:rPr/>
            </w:pPr>
            <w:r>
              <w:rPr>
                <w:color w:val="231F20"/>
                <w:spacing w:val="-1"/>
              </w:rPr>
              <w:t>创业板总发行股本</w:t>
            </w:r>
          </w:p>
          <w:p>
            <w:pPr>
              <w:pStyle w:val="TableText"/>
              <w:ind w:left="778"/>
              <w:spacing w:before="143" w:line="176" w:lineRule="auto"/>
              <w:rPr/>
            </w:pPr>
            <w:r>
              <w:rPr>
                <w:color w:val="231F20"/>
                <w:spacing w:val="-1"/>
              </w:rPr>
              <w:t>科创板总发行股本</w:t>
            </w:r>
          </w:p>
          <w:p>
            <w:pPr>
              <w:pStyle w:val="TableText"/>
              <w:ind w:left="60"/>
              <w:spacing w:before="139" w:line="178" w:lineRule="auto"/>
              <w:rPr/>
            </w:pPr>
            <w:r>
              <w:rPr>
                <w:color w:val="231F20"/>
              </w:rPr>
              <w:t>北交所市场总发行股本（亿股）</w:t>
            </w:r>
          </w:p>
          <w:p>
            <w:pPr>
              <w:pStyle w:val="TableText"/>
              <w:ind w:left="64"/>
              <w:spacing w:before="140" w:line="178" w:lineRule="auto"/>
              <w:rPr/>
            </w:pPr>
            <w:r>
              <w:rPr>
                <w:color w:val="231F20"/>
                <w:spacing w:val="-1"/>
              </w:rPr>
              <w:t>沪深股市市价总值（亿元）</w:t>
            </w:r>
          </w:p>
          <w:p>
            <w:pPr>
              <w:pStyle w:val="TableText"/>
              <w:ind w:left="283"/>
              <w:spacing w:before="142" w:line="178" w:lineRule="auto"/>
              <w:rPr/>
            </w:pPr>
            <w:r>
              <w:rPr>
                <w:color w:val="231F20"/>
                <w:spacing w:val="-1"/>
              </w:rPr>
              <w:t>其中：中小板市价总值</w:t>
            </w:r>
          </w:p>
          <w:p>
            <w:pPr>
              <w:pStyle w:val="TableText"/>
              <w:ind w:left="779"/>
              <w:spacing w:before="140" w:line="178" w:lineRule="auto"/>
              <w:rPr/>
            </w:pPr>
            <w:r>
              <w:rPr>
                <w:color w:val="231F20"/>
                <w:spacing w:val="-1"/>
              </w:rPr>
              <w:t>创业板市价总值</w:t>
            </w:r>
          </w:p>
          <w:p>
            <w:pPr>
              <w:pStyle w:val="TableText"/>
              <w:ind w:left="778"/>
              <w:spacing w:before="140" w:line="178" w:lineRule="auto"/>
              <w:rPr/>
            </w:pPr>
            <w:r>
              <w:rPr>
                <w:color w:val="231F20"/>
                <w:spacing w:val="-1"/>
              </w:rPr>
              <w:t>科创板市价总值</w:t>
            </w:r>
          </w:p>
          <w:p>
            <w:pPr>
              <w:pStyle w:val="TableText"/>
              <w:ind w:left="60"/>
              <w:spacing w:before="138" w:line="178" w:lineRule="auto"/>
              <w:rPr/>
            </w:pPr>
            <w:r>
              <w:rPr>
                <w:color w:val="231F20"/>
              </w:rPr>
              <w:t>北交所市场股票市价总值（亿元）</w:t>
            </w:r>
          </w:p>
          <w:p>
            <w:pPr>
              <w:pStyle w:val="TableText"/>
              <w:ind w:left="64"/>
              <w:spacing w:before="140" w:line="178" w:lineRule="auto"/>
              <w:rPr/>
            </w:pPr>
            <w:r>
              <w:rPr>
                <w:color w:val="231F20"/>
                <w:spacing w:val="-1"/>
              </w:rPr>
              <w:t>沪深股市流通市值（亿元）</w:t>
            </w:r>
          </w:p>
          <w:p>
            <w:pPr>
              <w:pStyle w:val="TableText"/>
              <w:ind w:left="239"/>
              <w:spacing w:before="142" w:line="179" w:lineRule="auto"/>
              <w:rPr/>
            </w:pPr>
            <w:r>
              <w:rPr>
                <w:color w:val="231F20"/>
                <w:spacing w:val="-1"/>
              </w:rPr>
              <w:t>其中：中小板流通市值</w:t>
            </w:r>
          </w:p>
          <w:p>
            <w:pPr>
              <w:pStyle w:val="TableText"/>
              <w:ind w:left="779"/>
              <w:spacing w:before="138" w:line="179" w:lineRule="auto"/>
              <w:rPr/>
            </w:pPr>
            <w:r>
              <w:rPr>
                <w:color w:val="231F20"/>
                <w:spacing w:val="-1"/>
              </w:rPr>
              <w:t>创业板流通市值</w:t>
            </w:r>
          </w:p>
          <w:p>
            <w:pPr>
              <w:pStyle w:val="TableText"/>
              <w:ind w:left="778"/>
              <w:spacing w:before="139" w:line="179" w:lineRule="auto"/>
              <w:rPr/>
            </w:pPr>
            <w:r>
              <w:rPr>
                <w:color w:val="231F20"/>
                <w:spacing w:val="-1"/>
              </w:rPr>
              <w:t>科创板流通市值</w:t>
            </w:r>
          </w:p>
          <w:p>
            <w:pPr>
              <w:pStyle w:val="TableText"/>
              <w:ind w:left="60"/>
              <w:spacing w:before="137" w:line="178" w:lineRule="auto"/>
              <w:rPr/>
            </w:pPr>
            <w:r>
              <w:rPr>
                <w:color w:val="231F20"/>
              </w:rPr>
              <w:t>北交所市场流通市值（亿元）</w:t>
            </w:r>
          </w:p>
        </w:tc>
        <w:tc>
          <w:tcPr>
            <w:tcW w:w="982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410"/>
              <w:spacing w:before="103" w:line="209" w:lineRule="auto"/>
              <w:rPr/>
            </w:pPr>
            <w:r>
              <w:rPr>
                <w:color w:val="231F20"/>
                <w:spacing w:val="-10"/>
              </w:rPr>
              <w:t>3777</w:t>
            </w:r>
          </w:p>
          <w:p>
            <w:pPr>
              <w:pStyle w:val="TableText"/>
              <w:ind w:left="511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137</w:t>
            </w:r>
          </w:p>
          <w:p>
            <w:pPr>
              <w:pStyle w:val="TableText"/>
              <w:ind w:left="496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943</w:t>
            </w:r>
          </w:p>
          <w:p>
            <w:pPr>
              <w:pStyle w:val="TableText"/>
              <w:ind w:left="495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791</w:t>
            </w:r>
          </w:p>
          <w:p>
            <w:pPr>
              <w:pStyle w:val="TableText"/>
              <w:ind w:left="584"/>
              <w:spacing w:before="95" w:line="209" w:lineRule="auto"/>
              <w:rPr/>
            </w:pPr>
            <w:r>
              <w:rPr>
                <w:color w:val="231F20"/>
                <w:spacing w:val="-7"/>
              </w:rPr>
              <w:t>70</w:t>
            </w:r>
          </w:p>
          <w:p>
            <w:pPr>
              <w:pStyle w:val="TableText"/>
              <w:ind w:left="586"/>
              <w:spacing w:before="95" w:line="209" w:lineRule="auto"/>
              <w:rPr/>
            </w:pPr>
            <w:r>
              <w:rPr>
                <w:color w:val="231F20"/>
                <w:spacing w:val="-7"/>
              </w:rPr>
              <w:t>97</w:t>
            </w:r>
          </w:p>
          <w:p>
            <w:pPr>
              <w:pStyle w:val="TableText"/>
              <w:ind w:left="672"/>
              <w:spacing w:before="94" w:line="211" w:lineRule="auto"/>
              <w:rPr/>
            </w:pPr>
            <w:r>
              <w:rPr>
                <w:color w:val="231F20"/>
              </w:rPr>
              <w:t>4</w:t>
            </w:r>
          </w:p>
          <w:p>
            <w:pPr>
              <w:pStyle w:val="TableText"/>
              <w:ind w:left="669"/>
              <w:spacing w:before="199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18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61740</w:t>
            </w:r>
          </w:p>
          <w:p>
            <w:pPr>
              <w:pStyle w:val="TableText"/>
              <w:ind w:left="407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9322</w:t>
            </w:r>
          </w:p>
          <w:p>
            <w:pPr>
              <w:pStyle w:val="TableText"/>
              <w:ind w:left="404"/>
              <w:spacing w:before="96" w:line="209" w:lineRule="auto"/>
              <w:rPr/>
            </w:pPr>
            <w:r>
              <w:rPr>
                <w:color w:val="231F20"/>
                <w:spacing w:val="-9"/>
              </w:rPr>
              <w:t>4097</w:t>
            </w:r>
          </w:p>
          <w:p>
            <w:pPr>
              <w:pStyle w:val="TableText"/>
              <w:ind w:left="669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669"/>
              <w:spacing w:before="244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29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593075</w:t>
            </w:r>
          </w:p>
          <w:p>
            <w:pPr>
              <w:pStyle w:val="TableText"/>
              <w:ind w:left="318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98681</w:t>
            </w:r>
          </w:p>
          <w:p>
            <w:pPr>
              <w:pStyle w:val="TableText"/>
              <w:ind w:left="318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61348</w:t>
            </w:r>
          </w:p>
          <w:p>
            <w:pPr>
              <w:pStyle w:val="TableText"/>
              <w:ind w:left="409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8638</w:t>
            </w:r>
          </w:p>
          <w:p>
            <w:pPr>
              <w:pStyle w:val="TableText"/>
              <w:ind w:left="669"/>
              <w:spacing w:before="202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26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483327</w:t>
            </w:r>
          </w:p>
          <w:p>
            <w:pPr>
              <w:pStyle w:val="TableText"/>
              <w:ind w:left="316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73661</w:t>
            </w:r>
          </w:p>
          <w:p>
            <w:pPr>
              <w:pStyle w:val="TableText"/>
              <w:ind w:left="315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40232</w:t>
            </w:r>
          </w:p>
          <w:p>
            <w:pPr>
              <w:pStyle w:val="TableText"/>
              <w:ind w:left="422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1288</w:t>
            </w:r>
          </w:p>
        </w:tc>
        <w:tc>
          <w:tcPr>
            <w:tcW w:w="984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99"/>
              <w:spacing w:before="103" w:line="209" w:lineRule="auto"/>
              <w:rPr/>
            </w:pPr>
            <w:r>
              <w:rPr>
                <w:color w:val="231F20"/>
                <w:spacing w:val="-9"/>
              </w:rPr>
              <w:t>4154</w:t>
            </w:r>
          </w:p>
          <w:p>
            <w:pPr>
              <w:pStyle w:val="TableText"/>
              <w:ind w:left="491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218</w:t>
            </w:r>
          </w:p>
          <w:p>
            <w:pPr>
              <w:pStyle w:val="TableText"/>
              <w:ind w:left="491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994</w:t>
            </w:r>
          </w:p>
          <w:p>
            <w:pPr>
              <w:pStyle w:val="TableText"/>
              <w:ind w:left="493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892</w:t>
            </w:r>
          </w:p>
          <w:p>
            <w:pPr>
              <w:pStyle w:val="TableText"/>
              <w:ind w:left="491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215</w:t>
            </w:r>
          </w:p>
          <w:p>
            <w:pPr>
              <w:pStyle w:val="TableText"/>
              <w:ind w:left="580"/>
              <w:spacing w:before="95" w:line="209" w:lineRule="auto"/>
              <w:rPr/>
            </w:pPr>
            <w:r>
              <w:rPr>
                <w:color w:val="231F20"/>
                <w:spacing w:val="-7"/>
              </w:rPr>
              <w:t>20</w:t>
            </w:r>
          </w:p>
          <w:p>
            <w:pPr>
              <w:pStyle w:val="TableText"/>
              <w:ind w:left="667"/>
              <w:spacing w:before="94" w:line="211" w:lineRule="auto"/>
              <w:rPr/>
            </w:pPr>
            <w:r>
              <w:rPr>
                <w:color w:val="231F20"/>
              </w:rPr>
              <w:t>4</w:t>
            </w:r>
          </w:p>
          <w:p>
            <w:pPr>
              <w:pStyle w:val="TableText"/>
              <w:ind w:left="663"/>
              <w:spacing w:before="199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13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65526</w:t>
            </w:r>
          </w:p>
          <w:p>
            <w:pPr>
              <w:pStyle w:val="TableText"/>
              <w:ind w:left="402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9924</w:t>
            </w:r>
          </w:p>
          <w:p>
            <w:pPr>
              <w:pStyle w:val="TableText"/>
              <w:ind w:left="399"/>
              <w:spacing w:before="96" w:line="209" w:lineRule="auto"/>
              <w:rPr/>
            </w:pPr>
            <w:r>
              <w:rPr>
                <w:color w:val="231F20"/>
                <w:spacing w:val="-9"/>
              </w:rPr>
              <w:t>4510</w:t>
            </w:r>
          </w:p>
          <w:p>
            <w:pPr>
              <w:pStyle w:val="TableText"/>
              <w:ind w:left="663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663"/>
              <w:spacing w:before="244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22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796487</w:t>
            </w:r>
          </w:p>
          <w:p>
            <w:pPr>
              <w:pStyle w:val="TableText"/>
              <w:ind w:left="238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135378</w:t>
            </w:r>
          </w:p>
          <w:p>
            <w:pPr>
              <w:pStyle w:val="TableText"/>
              <w:ind w:left="238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109339</w:t>
            </w:r>
          </w:p>
          <w:p>
            <w:pPr>
              <w:pStyle w:val="TableText"/>
              <w:ind w:left="315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33491</w:t>
            </w:r>
          </w:p>
          <w:p>
            <w:pPr>
              <w:pStyle w:val="TableText"/>
              <w:ind w:left="663"/>
              <w:spacing w:before="202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24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643096</w:t>
            </w:r>
          </w:p>
          <w:p>
            <w:pPr>
              <w:pStyle w:val="TableText"/>
              <w:ind w:left="238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106105</w:t>
            </w:r>
          </w:p>
          <w:p>
            <w:pPr>
              <w:pStyle w:val="TableText"/>
              <w:ind w:left="313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69630</w:t>
            </w:r>
          </w:p>
          <w:p>
            <w:pPr>
              <w:pStyle w:val="TableText"/>
              <w:ind w:left="327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10002</w:t>
            </w:r>
          </w:p>
          <w:p>
            <w:pPr>
              <w:pStyle w:val="TableText"/>
              <w:ind w:left="663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</w:tc>
        <w:tc>
          <w:tcPr>
            <w:tcW w:w="957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407"/>
              <w:spacing w:before="103" w:line="209" w:lineRule="auto"/>
              <w:rPr/>
            </w:pPr>
            <w:r>
              <w:rPr>
                <w:color w:val="231F20"/>
                <w:spacing w:val="-9"/>
              </w:rPr>
              <w:t>4615</w:t>
            </w:r>
          </w:p>
          <w:p>
            <w:pPr>
              <w:pStyle w:val="TableText"/>
              <w:ind w:left="514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179</w:t>
            </w:r>
          </w:p>
          <w:p>
            <w:pPr>
              <w:pStyle w:val="TableText"/>
              <w:ind w:left="672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425"/>
              <w:spacing w:before="138" w:line="209" w:lineRule="auto"/>
              <w:rPr/>
            </w:pPr>
            <w:r>
              <w:rPr>
                <w:color w:val="231F20"/>
                <w:spacing w:val="-12"/>
              </w:rPr>
              <w:t>1090</w:t>
            </w:r>
          </w:p>
          <w:p>
            <w:pPr>
              <w:pStyle w:val="TableText"/>
              <w:ind w:left="502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377</w:t>
            </w:r>
          </w:p>
          <w:p>
            <w:pPr>
              <w:pStyle w:val="TableText"/>
              <w:ind w:left="589"/>
              <w:spacing w:before="95" w:line="209" w:lineRule="auto"/>
              <w:rPr/>
            </w:pPr>
            <w:r>
              <w:rPr>
                <w:color w:val="231F20"/>
                <w:spacing w:val="-7"/>
              </w:rPr>
              <w:t>90</w:t>
            </w:r>
          </w:p>
          <w:p>
            <w:pPr>
              <w:pStyle w:val="TableText"/>
              <w:ind w:left="675"/>
              <w:spacing w:before="94" w:line="211" w:lineRule="auto"/>
              <w:rPr/>
            </w:pPr>
            <w:r>
              <w:rPr>
                <w:color w:val="231F20"/>
              </w:rPr>
              <w:t>4</w:t>
            </w:r>
          </w:p>
          <w:p>
            <w:pPr>
              <w:pStyle w:val="TableText"/>
              <w:ind w:left="591"/>
              <w:spacing w:before="93" w:line="209" w:lineRule="auto"/>
              <w:rPr/>
            </w:pPr>
            <w:r>
              <w:rPr>
                <w:color w:val="231F20"/>
                <w:spacing w:val="-8"/>
              </w:rPr>
              <w:t>82</w:t>
            </w:r>
          </w:p>
          <w:p>
            <w:pPr>
              <w:pStyle w:val="TableText"/>
              <w:ind w:left="319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70694</w:t>
            </w:r>
          </w:p>
          <w:p>
            <w:pPr>
              <w:pStyle w:val="TableText"/>
              <w:ind w:left="672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411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5165</w:t>
            </w:r>
          </w:p>
          <w:p>
            <w:pPr>
              <w:pStyle w:val="TableText"/>
              <w:ind w:left="425"/>
              <w:spacing w:before="95" w:line="211" w:lineRule="auto"/>
              <w:rPr/>
            </w:pPr>
            <w:r>
              <w:rPr>
                <w:color w:val="231F20"/>
                <w:spacing w:val="-12"/>
              </w:rPr>
              <w:t>1212</w:t>
            </w:r>
          </w:p>
          <w:p>
            <w:pPr>
              <w:pStyle w:val="TableText"/>
              <w:ind w:left="514"/>
              <w:spacing w:before="93" w:line="209" w:lineRule="auto"/>
              <w:rPr/>
            </w:pPr>
            <w:r>
              <w:rPr>
                <w:color w:val="231F20"/>
                <w:spacing w:val="-12"/>
              </w:rPr>
              <w:t>123</w:t>
            </w:r>
          </w:p>
          <w:p>
            <w:pPr>
              <w:pStyle w:val="TableText"/>
              <w:ind w:left="231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916088</w:t>
            </w:r>
          </w:p>
          <w:p>
            <w:pPr>
              <w:pStyle w:val="TableText"/>
              <w:ind w:left="672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46"/>
              <w:spacing w:before="138" w:line="209" w:lineRule="auto"/>
              <w:rPr/>
            </w:pPr>
            <w:r>
              <w:rPr>
                <w:color w:val="231F20"/>
                <w:spacing w:val="-12"/>
              </w:rPr>
              <w:t>140240</w:t>
            </w:r>
          </w:p>
          <w:p>
            <w:pPr>
              <w:pStyle w:val="TableText"/>
              <w:ind w:left="321"/>
              <w:spacing w:before="96" w:line="209" w:lineRule="auto"/>
              <w:rPr/>
            </w:pPr>
            <w:r>
              <w:rPr>
                <w:color w:val="231F20"/>
                <w:spacing w:val="-10"/>
              </w:rPr>
              <w:t>56306</w:t>
            </w:r>
          </w:p>
          <w:p>
            <w:pPr>
              <w:pStyle w:val="TableText"/>
              <w:ind w:left="410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2723</w:t>
            </w:r>
          </w:p>
          <w:p>
            <w:pPr>
              <w:pStyle w:val="TableText"/>
              <w:ind w:left="230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751556</w:t>
            </w:r>
          </w:p>
          <w:p>
            <w:pPr>
              <w:pStyle w:val="TableText"/>
              <w:ind w:left="672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46"/>
              <w:spacing w:before="138" w:line="209" w:lineRule="auto"/>
              <w:rPr/>
            </w:pPr>
            <w:r>
              <w:rPr>
                <w:color w:val="231F20"/>
                <w:spacing w:val="-12"/>
              </w:rPr>
              <w:t>140240</w:t>
            </w:r>
          </w:p>
          <w:p>
            <w:pPr>
              <w:pStyle w:val="TableText"/>
              <w:ind w:left="321"/>
              <w:spacing w:before="96" w:line="209" w:lineRule="auto"/>
              <w:rPr/>
            </w:pPr>
            <w:r>
              <w:rPr>
                <w:color w:val="231F20"/>
                <w:spacing w:val="-10"/>
              </w:rPr>
              <w:t>22591</w:t>
            </w:r>
          </w:p>
          <w:p>
            <w:pPr>
              <w:pStyle w:val="TableText"/>
              <w:ind w:left="425"/>
              <w:spacing w:before="94" w:line="188" w:lineRule="auto"/>
              <w:rPr/>
            </w:pPr>
            <w:r>
              <w:rPr>
                <w:color w:val="231F20"/>
                <w:spacing w:val="-12"/>
              </w:rPr>
              <w:t>1074</w:t>
            </w:r>
          </w:p>
        </w:tc>
        <w:tc>
          <w:tcPr>
            <w:tcW w:w="949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73"/>
              <w:spacing w:before="103" w:line="209" w:lineRule="auto"/>
              <w:rPr/>
            </w:pPr>
            <w:r>
              <w:rPr>
                <w:color w:val="231F20"/>
                <w:spacing w:val="-9"/>
              </w:rPr>
              <w:t>4917</w:t>
            </w:r>
          </w:p>
          <w:p>
            <w:pPr>
              <w:pStyle w:val="TableText"/>
              <w:ind w:left="479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109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90"/>
              <w:spacing w:before="138" w:line="209" w:lineRule="auto"/>
              <w:rPr/>
            </w:pPr>
            <w:r>
              <w:rPr>
                <w:color w:val="231F20"/>
                <w:spacing w:val="-12"/>
              </w:rPr>
              <w:t>1232</w:t>
            </w:r>
          </w:p>
          <w:p>
            <w:pPr>
              <w:pStyle w:val="TableText"/>
              <w:ind w:left="465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501</w:t>
            </w:r>
          </w:p>
          <w:p>
            <w:pPr>
              <w:pStyle w:val="TableText"/>
              <w:ind w:left="556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86</w:t>
            </w:r>
          </w:p>
          <w:p>
            <w:pPr>
              <w:pStyle w:val="TableText"/>
              <w:ind w:left="643"/>
              <w:spacing w:before="95" w:line="209" w:lineRule="auto"/>
              <w:rPr/>
            </w:pPr>
            <w:r>
              <w:rPr>
                <w:color w:val="231F20"/>
              </w:rPr>
              <w:t>0</w:t>
            </w:r>
          </w:p>
          <w:p>
            <w:pPr>
              <w:pStyle w:val="TableText"/>
              <w:ind w:left="479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162</w:t>
            </w:r>
          </w:p>
          <w:p>
            <w:pPr>
              <w:pStyle w:val="TableText"/>
              <w:ind w:left="285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73312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76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5685</w:t>
            </w:r>
          </w:p>
          <w:p>
            <w:pPr>
              <w:pStyle w:val="TableText"/>
              <w:ind w:left="390"/>
              <w:spacing w:before="95" w:line="211" w:lineRule="auto"/>
              <w:rPr/>
            </w:pPr>
            <w:r>
              <w:rPr>
                <w:color w:val="231F20"/>
                <w:spacing w:val="-12"/>
              </w:rPr>
              <w:t>1742</w:t>
            </w:r>
          </w:p>
          <w:p>
            <w:pPr>
              <w:pStyle w:val="TableText"/>
              <w:ind w:left="465"/>
              <w:spacing w:before="92" w:line="211" w:lineRule="auto"/>
              <w:rPr/>
            </w:pPr>
            <w:r>
              <w:rPr>
                <w:color w:val="231F20"/>
                <w:spacing w:val="-9"/>
              </w:rPr>
              <w:t>214</w:t>
            </w:r>
          </w:p>
          <w:p>
            <w:pPr>
              <w:pStyle w:val="TableText"/>
              <w:ind w:left="196"/>
              <w:spacing w:before="93" w:line="209" w:lineRule="auto"/>
              <w:rPr/>
            </w:pPr>
            <w:r>
              <w:rPr>
                <w:color w:val="231F20"/>
                <w:spacing w:val="-10"/>
              </w:rPr>
              <w:t>788006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12"/>
              <w:spacing w:before="138" w:line="211" w:lineRule="auto"/>
              <w:rPr/>
            </w:pPr>
            <w:r>
              <w:rPr>
                <w:color w:val="231F20"/>
                <w:spacing w:val="-12"/>
              </w:rPr>
              <w:t>112721</w:t>
            </w:r>
          </w:p>
          <w:p>
            <w:pPr>
              <w:pStyle w:val="TableText"/>
              <w:ind w:left="287"/>
              <w:spacing w:before="93" w:line="209" w:lineRule="auto"/>
              <w:rPr/>
            </w:pPr>
            <w:r>
              <w:rPr>
                <w:color w:val="231F20"/>
                <w:spacing w:val="-10"/>
              </w:rPr>
              <w:t>58151</w:t>
            </w:r>
          </w:p>
          <w:p>
            <w:pPr>
              <w:pStyle w:val="TableText"/>
              <w:ind w:left="375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2110</w:t>
            </w:r>
          </w:p>
          <w:p>
            <w:pPr>
              <w:pStyle w:val="TableText"/>
              <w:ind w:left="197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663429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85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79367</w:t>
            </w:r>
          </w:p>
          <w:p>
            <w:pPr>
              <w:pStyle w:val="TableText"/>
              <w:ind w:left="286"/>
              <w:spacing w:before="96" w:line="209" w:lineRule="auto"/>
              <w:rPr/>
            </w:pPr>
            <w:r>
              <w:rPr>
                <w:color w:val="231F20"/>
                <w:spacing w:val="-10"/>
              </w:rPr>
              <w:t>27583</w:t>
            </w:r>
          </w:p>
          <w:p>
            <w:pPr>
              <w:pStyle w:val="TableText"/>
              <w:ind w:left="390"/>
              <w:spacing w:before="94" w:line="188" w:lineRule="auto"/>
              <w:rPr/>
            </w:pPr>
            <w:r>
              <w:rPr>
                <w:color w:val="231F20"/>
                <w:spacing w:val="-12"/>
              </w:rPr>
              <w:t>1148</w:t>
            </w:r>
          </w:p>
        </w:tc>
        <w:tc>
          <w:tcPr>
            <w:tcW w:w="950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404"/>
              <w:spacing w:before="103" w:line="209" w:lineRule="auto"/>
              <w:rPr/>
            </w:pPr>
            <w:r>
              <w:rPr>
                <w:color w:val="231F20"/>
                <w:spacing w:val="-10"/>
              </w:rPr>
              <w:t>5107</w:t>
            </w:r>
          </w:p>
          <w:p>
            <w:pPr>
              <w:pStyle w:val="TableText"/>
              <w:ind w:left="507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116</w:t>
            </w:r>
          </w:p>
          <w:p>
            <w:pPr>
              <w:pStyle w:val="TableText"/>
              <w:ind w:left="665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418"/>
              <w:spacing w:before="138" w:line="209" w:lineRule="auto"/>
              <w:rPr/>
            </w:pPr>
            <w:r>
              <w:rPr>
                <w:color w:val="231F20"/>
                <w:spacing w:val="-12"/>
              </w:rPr>
              <w:t>1333</w:t>
            </w:r>
          </w:p>
          <w:p>
            <w:pPr>
              <w:pStyle w:val="TableText"/>
              <w:ind w:left="493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566</w:t>
            </w:r>
          </w:p>
          <w:p>
            <w:pPr>
              <w:pStyle w:val="TableText"/>
              <w:ind w:left="584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85</w:t>
            </w:r>
          </w:p>
          <w:p>
            <w:pPr>
              <w:pStyle w:val="TableText"/>
              <w:ind w:left="686"/>
              <w:spacing w:before="94" w:line="211" w:lineRule="auto"/>
              <w:rPr/>
            </w:pPr>
            <w:r>
              <w:rPr>
                <w:color w:val="231F20"/>
              </w:rPr>
              <w:t>1</w:t>
            </w:r>
          </w:p>
          <w:p>
            <w:pPr>
              <w:pStyle w:val="TableText"/>
              <w:ind w:left="492"/>
              <w:spacing w:before="93" w:line="209" w:lineRule="auto"/>
              <w:rPr/>
            </w:pPr>
            <w:r>
              <w:rPr>
                <w:color w:val="231F20"/>
                <w:spacing w:val="-9"/>
              </w:rPr>
              <w:t>239</w:t>
            </w:r>
          </w:p>
          <w:p>
            <w:pPr>
              <w:pStyle w:val="TableText"/>
              <w:ind w:left="313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75489</w:t>
            </w:r>
          </w:p>
          <w:p>
            <w:pPr>
              <w:pStyle w:val="TableText"/>
              <w:ind w:left="665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404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6210</w:t>
            </w:r>
          </w:p>
          <w:p>
            <w:pPr>
              <w:pStyle w:val="TableText"/>
              <w:ind w:left="403"/>
              <w:spacing w:before="95" w:line="211" w:lineRule="auto"/>
              <w:rPr/>
            </w:pPr>
            <w:r>
              <w:rPr>
                <w:color w:val="231F20"/>
                <w:spacing w:val="-9"/>
              </w:rPr>
              <w:t>2112</w:t>
            </w:r>
          </w:p>
          <w:p>
            <w:pPr>
              <w:pStyle w:val="TableText"/>
              <w:ind w:left="495"/>
              <w:spacing w:before="93" w:line="209" w:lineRule="auto"/>
              <w:rPr/>
            </w:pPr>
            <w:r>
              <w:rPr>
                <w:color w:val="231F20"/>
                <w:spacing w:val="-9"/>
              </w:rPr>
              <w:t>318</w:t>
            </w:r>
          </w:p>
          <w:p>
            <w:pPr>
              <w:pStyle w:val="TableText"/>
              <w:ind w:left="223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773131</w:t>
            </w:r>
          </w:p>
          <w:p>
            <w:pPr>
              <w:pStyle w:val="TableText"/>
              <w:ind w:left="665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39"/>
              <w:spacing w:before="138" w:line="209" w:lineRule="auto"/>
              <w:rPr/>
            </w:pPr>
            <w:r>
              <w:rPr>
                <w:color w:val="231F20"/>
                <w:spacing w:val="-12"/>
              </w:rPr>
              <w:t>113734</w:t>
            </w:r>
          </w:p>
          <w:p>
            <w:pPr>
              <w:pStyle w:val="TableText"/>
              <w:ind w:left="315"/>
              <w:spacing w:before="96" w:line="209" w:lineRule="auto"/>
              <w:rPr/>
            </w:pPr>
            <w:r>
              <w:rPr>
                <w:color w:val="231F20"/>
                <w:spacing w:val="-10"/>
              </w:rPr>
              <w:t>61617</w:t>
            </w:r>
          </w:p>
          <w:p>
            <w:pPr>
              <w:pStyle w:val="TableText"/>
              <w:ind w:left="400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4496</w:t>
            </w:r>
          </w:p>
          <w:p>
            <w:pPr>
              <w:pStyle w:val="TableText"/>
              <w:ind w:left="225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674342</w:t>
            </w:r>
          </w:p>
          <w:p>
            <w:pPr>
              <w:pStyle w:val="TableText"/>
              <w:ind w:left="665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16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82062</w:t>
            </w:r>
          </w:p>
          <w:p>
            <w:pPr>
              <w:pStyle w:val="TableText"/>
              <w:ind w:left="317"/>
              <w:spacing w:before="96" w:line="209" w:lineRule="auto"/>
              <w:rPr/>
            </w:pPr>
            <w:r>
              <w:rPr>
                <w:color w:val="231F20"/>
                <w:spacing w:val="-10"/>
              </w:rPr>
              <w:t>38611</w:t>
            </w:r>
          </w:p>
          <w:p>
            <w:pPr>
              <w:pStyle w:val="TableText"/>
              <w:ind w:left="403"/>
              <w:spacing w:before="94" w:line="188" w:lineRule="auto"/>
              <w:rPr/>
            </w:pPr>
            <w:r>
              <w:rPr>
                <w:color w:val="231F20"/>
                <w:spacing w:val="-9"/>
              </w:rPr>
              <w:t>2263</w:t>
            </w:r>
          </w:p>
        </w:tc>
        <w:tc>
          <w:tcPr>
            <w:tcW w:w="841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76"/>
              <w:spacing w:before="103" w:line="209" w:lineRule="auto"/>
              <w:rPr/>
            </w:pPr>
            <w:r>
              <w:rPr>
                <w:color w:val="231F20"/>
                <w:spacing w:val="-10"/>
              </w:rPr>
              <w:t>5130</w:t>
            </w:r>
          </w:p>
          <w:p>
            <w:pPr>
              <w:pStyle w:val="TableText"/>
              <w:ind w:left="480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156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90"/>
              <w:spacing w:before="138" w:line="209" w:lineRule="auto"/>
              <w:rPr/>
            </w:pPr>
            <w:r>
              <w:rPr>
                <w:color w:val="231F20"/>
                <w:spacing w:val="-12"/>
              </w:rPr>
              <w:t>1365</w:t>
            </w:r>
          </w:p>
          <w:p>
            <w:pPr>
              <w:pStyle w:val="TableText"/>
              <w:ind w:left="466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581</w:t>
            </w:r>
          </w:p>
          <w:p>
            <w:pPr>
              <w:pStyle w:val="TableText"/>
              <w:ind w:left="556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82</w:t>
            </w:r>
          </w:p>
          <w:p>
            <w:pPr>
              <w:pStyle w:val="TableText"/>
              <w:ind w:left="643"/>
              <w:spacing w:before="94" w:line="211" w:lineRule="auto"/>
              <w:rPr/>
            </w:pPr>
            <w:r>
              <w:rPr>
                <w:color w:val="231F20"/>
              </w:rPr>
              <w:t>2</w:t>
            </w:r>
          </w:p>
          <w:p>
            <w:pPr>
              <w:pStyle w:val="TableText"/>
              <w:ind w:left="465"/>
              <w:spacing w:before="93" w:line="209" w:lineRule="auto"/>
              <w:rPr/>
            </w:pPr>
            <w:r>
              <w:rPr>
                <w:color w:val="231F20"/>
                <w:spacing w:val="-9"/>
              </w:rPr>
              <w:t>262</w:t>
            </w:r>
          </w:p>
          <w:p>
            <w:pPr>
              <w:pStyle w:val="TableText"/>
              <w:ind w:left="288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87249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76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6328</w:t>
            </w:r>
          </w:p>
          <w:p>
            <w:pPr>
              <w:pStyle w:val="TableText"/>
              <w:ind w:left="376"/>
              <w:spacing w:before="96" w:line="209" w:lineRule="auto"/>
              <w:rPr/>
            </w:pPr>
            <w:r>
              <w:rPr>
                <w:color w:val="231F20"/>
                <w:spacing w:val="-9"/>
              </w:rPr>
              <w:t>2352</w:t>
            </w:r>
          </w:p>
          <w:p>
            <w:pPr>
              <w:pStyle w:val="TableText"/>
              <w:ind w:left="468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352</w:t>
            </w:r>
          </w:p>
          <w:p>
            <w:pPr>
              <w:pStyle w:val="TableText"/>
              <w:ind w:left="199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854720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12"/>
              <w:spacing w:before="138" w:line="209" w:lineRule="auto"/>
              <w:rPr/>
            </w:pPr>
            <w:r>
              <w:rPr>
                <w:color w:val="231F20"/>
                <w:spacing w:val="-12"/>
              </w:rPr>
              <w:t>124540</w:t>
            </w:r>
          </w:p>
          <w:p>
            <w:pPr>
              <w:pStyle w:val="TableText"/>
              <w:ind w:left="287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63429</w:t>
            </w:r>
          </w:p>
          <w:p>
            <w:pPr>
              <w:pStyle w:val="TableText"/>
              <w:ind w:left="376"/>
              <w:spacing w:before="96" w:line="209" w:lineRule="auto"/>
              <w:rPr/>
            </w:pPr>
            <w:r>
              <w:rPr>
                <w:color w:val="231F20"/>
                <w:spacing w:val="-10"/>
              </w:rPr>
              <w:t>5386</w:t>
            </w:r>
          </w:p>
          <w:p>
            <w:pPr>
              <w:pStyle w:val="TableText"/>
              <w:ind w:left="196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773919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86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95957</w:t>
            </w:r>
          </w:p>
          <w:p>
            <w:pPr>
              <w:pStyle w:val="TableText"/>
              <w:ind w:left="284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48030</w:t>
            </w:r>
          </w:p>
          <w:p>
            <w:pPr>
              <w:pStyle w:val="TableText"/>
              <w:ind w:left="376"/>
              <w:spacing w:before="95" w:line="188" w:lineRule="auto"/>
              <w:rPr/>
            </w:pPr>
            <w:r>
              <w:rPr>
                <w:color w:val="231F20"/>
                <w:spacing w:val="-9"/>
              </w:rPr>
              <w:t>2548</w:t>
            </w:r>
          </w:p>
        </w:tc>
      </w:tr>
      <w:tr>
        <w:trPr>
          <w:trHeight w:val="1977" w:hRule="atLeast"/>
        </w:trPr>
        <w:tc>
          <w:tcPr>
            <w:tcW w:w="1642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spacing w:line="414" w:lineRule="auto"/>
              <w:rPr>
                <w:sz w:val="21"/>
              </w:rPr>
            </w:pPr>
            <w:r/>
          </w:p>
          <w:p>
            <w:pPr>
              <w:pStyle w:val="TableText"/>
              <w:ind w:left="64"/>
              <w:spacing w:before="88" w:line="164" w:lineRule="auto"/>
              <w:rPr/>
            </w:pPr>
            <w:r>
              <w:rPr>
                <w:color w:val="231F20"/>
                <w:spacing w:val="-2"/>
              </w:rPr>
              <w:t>沪深股市</w:t>
            </w:r>
          </w:p>
          <w:p>
            <w:pPr>
              <w:pStyle w:val="TableText"/>
              <w:ind w:left="60"/>
              <w:spacing w:line="177" w:lineRule="auto"/>
              <w:rPr/>
            </w:pPr>
            <w:r>
              <w:rPr>
                <w:color w:val="231F20"/>
              </w:rPr>
              <w:t>成交量（亿股）</w:t>
            </w:r>
          </w:p>
        </w:tc>
        <w:tc>
          <w:tcPr>
            <w:tcW w:w="1667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448" w:right="720" w:firstLine="50"/>
              <w:spacing w:before="108" w:line="276" w:lineRule="auto"/>
              <w:rPr/>
            </w:pPr>
            <w:r>
              <w:rPr>
                <w:color w:val="231F20"/>
                <w:spacing w:val="-2"/>
              </w:rPr>
              <w:t>合计</w:t>
            </w:r>
            <w:r>
              <w:rPr>
                <w:color w:val="231F20"/>
              </w:rPr>
              <w:t xml:space="preserve">   </w:t>
            </w:r>
            <w:r>
              <w:rPr>
                <w:color w:val="231F20"/>
                <w:spacing w:val="-15"/>
              </w:rPr>
              <w:t>日平均</w:t>
            </w:r>
          </w:p>
          <w:p>
            <w:pPr>
              <w:pStyle w:val="TableText"/>
              <w:ind w:left="428"/>
              <w:spacing w:before="1" w:line="174" w:lineRule="auto"/>
              <w:rPr/>
            </w:pPr>
            <w:r>
              <w:rPr>
                <w:color w:val="231F20"/>
                <w:spacing w:val="-5"/>
              </w:rPr>
              <w:t>中小板</w:t>
            </w:r>
          </w:p>
          <w:p>
            <w:pPr>
              <w:pStyle w:val="TableText"/>
              <w:ind w:left="409"/>
              <w:spacing w:before="143" w:line="176" w:lineRule="auto"/>
              <w:rPr/>
            </w:pPr>
            <w:r>
              <w:rPr>
                <w:color w:val="231F20"/>
                <w:spacing w:val="-1"/>
              </w:rPr>
              <w:t>创业板</w:t>
            </w:r>
          </w:p>
          <w:p>
            <w:pPr>
              <w:pStyle w:val="TableText"/>
              <w:ind w:left="408"/>
              <w:spacing w:before="142" w:line="176" w:lineRule="auto"/>
              <w:rPr/>
            </w:pPr>
            <w:r>
              <w:rPr>
                <w:color w:val="231F20"/>
                <w:spacing w:val="-1"/>
              </w:rPr>
              <w:t>科创板</w:t>
            </w:r>
          </w:p>
        </w:tc>
        <w:tc>
          <w:tcPr>
            <w:tcW w:w="982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43"/>
              <w:spacing w:before="106" w:line="209" w:lineRule="auto"/>
              <w:rPr/>
            </w:pPr>
            <w:r>
              <w:rPr>
                <w:color w:val="231F20"/>
                <w:spacing w:val="-12"/>
              </w:rPr>
              <w:t>126624</w:t>
            </w:r>
          </w:p>
          <w:p>
            <w:pPr>
              <w:pStyle w:val="TableText"/>
              <w:ind w:left="497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519</w:t>
            </w:r>
          </w:p>
          <w:p>
            <w:pPr>
              <w:pStyle w:val="TableText"/>
              <w:ind w:left="321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31971</w:t>
            </w:r>
          </w:p>
          <w:p>
            <w:pPr>
              <w:pStyle w:val="TableText"/>
              <w:ind w:left="332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19009</w:t>
            </w:r>
          </w:p>
          <w:p>
            <w:pPr>
              <w:pStyle w:val="TableText"/>
              <w:ind w:left="499"/>
              <w:spacing w:before="95" w:line="189" w:lineRule="auto"/>
              <w:rPr/>
            </w:pPr>
            <w:r>
              <w:rPr>
                <w:color w:val="231F20"/>
                <w:spacing w:val="-9"/>
              </w:rPr>
              <w:t>305</w:t>
            </w:r>
          </w:p>
        </w:tc>
        <w:tc>
          <w:tcPr>
            <w:tcW w:w="984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38"/>
              <w:spacing w:before="106" w:line="209" w:lineRule="auto"/>
              <w:rPr/>
            </w:pPr>
            <w:r>
              <w:rPr>
                <w:color w:val="231F20"/>
                <w:spacing w:val="-12"/>
              </w:rPr>
              <w:t>167452</w:t>
            </w:r>
          </w:p>
          <w:p>
            <w:pPr>
              <w:pStyle w:val="TableText"/>
              <w:ind w:left="492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689</w:t>
            </w:r>
          </w:p>
          <w:p>
            <w:pPr>
              <w:pStyle w:val="TableText"/>
              <w:ind w:left="310"/>
              <w:spacing w:before="94" w:line="211" w:lineRule="auto"/>
              <w:rPr/>
            </w:pPr>
            <w:r>
              <w:rPr>
                <w:color w:val="231F20"/>
                <w:spacing w:val="-9"/>
              </w:rPr>
              <w:t>42244</w:t>
            </w:r>
          </w:p>
          <w:p>
            <w:pPr>
              <w:pStyle w:val="TableText"/>
              <w:ind w:left="315"/>
              <w:spacing w:before="92" w:line="209" w:lineRule="auto"/>
              <w:rPr/>
            </w:pPr>
            <w:r>
              <w:rPr>
                <w:color w:val="231F20"/>
                <w:spacing w:val="-10"/>
              </w:rPr>
              <w:t>30219</w:t>
            </w:r>
          </w:p>
          <w:p>
            <w:pPr>
              <w:pStyle w:val="TableText"/>
              <w:ind w:left="417"/>
              <w:spacing w:before="96" w:line="189" w:lineRule="auto"/>
              <w:rPr/>
            </w:pPr>
            <w:r>
              <w:rPr>
                <w:color w:val="231F20"/>
                <w:spacing w:val="-12"/>
              </w:rPr>
              <w:t>1203</w:t>
            </w:r>
          </w:p>
        </w:tc>
        <w:tc>
          <w:tcPr>
            <w:tcW w:w="957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46"/>
              <w:spacing w:before="106" w:line="209" w:lineRule="auto"/>
              <w:rPr/>
            </w:pPr>
            <w:r>
              <w:rPr>
                <w:color w:val="231F20"/>
                <w:spacing w:val="-12"/>
              </w:rPr>
              <w:t>187426</w:t>
            </w:r>
          </w:p>
          <w:p>
            <w:pPr>
              <w:pStyle w:val="TableText"/>
              <w:ind w:left="498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756</w:t>
            </w:r>
          </w:p>
          <w:p>
            <w:pPr>
              <w:pStyle w:val="TableText"/>
              <w:ind w:left="672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21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29060</w:t>
            </w:r>
          </w:p>
          <w:p>
            <w:pPr>
              <w:pStyle w:val="TableText"/>
              <w:ind w:left="425"/>
              <w:spacing w:before="95" w:line="189" w:lineRule="auto"/>
              <w:rPr/>
            </w:pPr>
            <w:r>
              <w:rPr>
                <w:color w:val="231F20"/>
                <w:spacing w:val="-12"/>
              </w:rPr>
              <w:t>1951</w:t>
            </w:r>
          </w:p>
        </w:tc>
        <w:tc>
          <w:tcPr>
            <w:tcW w:w="949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12"/>
              <w:spacing w:before="106" w:line="209" w:lineRule="auto"/>
              <w:rPr/>
            </w:pPr>
            <w:r>
              <w:rPr>
                <w:color w:val="231F20"/>
                <w:spacing w:val="-12"/>
              </w:rPr>
              <w:t>185725</w:t>
            </w:r>
          </w:p>
          <w:p>
            <w:pPr>
              <w:pStyle w:val="TableText"/>
              <w:ind w:left="463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767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86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26371</w:t>
            </w:r>
          </w:p>
          <w:p>
            <w:pPr>
              <w:pStyle w:val="TableText"/>
              <w:ind w:left="375"/>
              <w:spacing w:before="95" w:line="189" w:lineRule="auto"/>
              <w:rPr/>
            </w:pPr>
            <w:r>
              <w:rPr>
                <w:color w:val="231F20"/>
                <w:spacing w:val="-9"/>
              </w:rPr>
              <w:t>2581</w:t>
            </w:r>
          </w:p>
        </w:tc>
        <w:tc>
          <w:tcPr>
            <w:tcW w:w="950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39"/>
              <w:spacing w:before="106" w:line="209" w:lineRule="auto"/>
              <w:rPr/>
            </w:pPr>
            <w:r>
              <w:rPr>
                <w:color w:val="231F20"/>
                <w:spacing w:val="-12"/>
              </w:rPr>
              <w:t>170809</w:t>
            </w:r>
          </w:p>
          <w:p>
            <w:pPr>
              <w:pStyle w:val="TableText"/>
              <w:ind w:left="491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706</w:t>
            </w:r>
          </w:p>
          <w:p>
            <w:pPr>
              <w:pStyle w:val="TableText"/>
              <w:ind w:left="665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29"/>
              <w:spacing w:before="138" w:line="209" w:lineRule="auto"/>
              <w:rPr/>
            </w:pPr>
            <w:r>
              <w:rPr>
                <w:color w:val="231F20"/>
                <w:spacing w:val="-12"/>
              </w:rPr>
              <w:t>12991</w:t>
            </w:r>
          </w:p>
          <w:p>
            <w:pPr>
              <w:pStyle w:val="TableText"/>
              <w:ind w:left="400"/>
              <w:spacing w:before="95" w:line="189" w:lineRule="auto"/>
              <w:rPr/>
            </w:pPr>
            <w:r>
              <w:rPr>
                <w:color w:val="231F20"/>
                <w:spacing w:val="-9"/>
              </w:rPr>
              <w:t>4041</w:t>
            </w:r>
          </w:p>
        </w:tc>
        <w:tc>
          <w:tcPr>
            <w:tcW w:w="841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197"/>
              <w:spacing w:before="106" w:line="209" w:lineRule="auto"/>
              <w:rPr/>
            </w:pPr>
            <w:r>
              <w:rPr>
                <w:color w:val="231F20"/>
                <w:spacing w:val="-10"/>
              </w:rPr>
              <w:t>235458</w:t>
            </w:r>
          </w:p>
          <w:p>
            <w:pPr>
              <w:pStyle w:val="TableText"/>
              <w:ind w:left="465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973</w:t>
            </w:r>
          </w:p>
          <w:p>
            <w:pPr>
              <w:pStyle w:val="TableText"/>
              <w:ind w:left="63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84"/>
              <w:spacing w:before="138" w:line="209" w:lineRule="auto"/>
              <w:rPr/>
            </w:pPr>
            <w:r>
              <w:rPr>
                <w:color w:val="231F20"/>
                <w:spacing w:val="-9"/>
              </w:rPr>
              <w:t>45353</w:t>
            </w:r>
          </w:p>
          <w:p>
            <w:pPr>
              <w:pStyle w:val="TableText"/>
              <w:ind w:left="376"/>
              <w:spacing w:before="95" w:line="189" w:lineRule="auto"/>
              <w:rPr/>
            </w:pPr>
            <w:r>
              <w:rPr>
                <w:color w:val="231F20"/>
                <w:spacing w:val="-10"/>
              </w:rPr>
              <w:t>5571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398"/>
          <w:pgSz w:w="11906" w:h="16158"/>
          <w:pgMar w:top="1383" w:right="1302" w:bottom="400" w:left="1629" w:header="1060" w:footer="0" w:gutter="0"/>
        </w:sectPr>
        <w:rPr/>
      </w:pPr>
    </w:p>
    <w:p>
      <w:pPr>
        <w:pStyle w:val="BodyText"/>
        <w:spacing w:line="315" w:lineRule="auto"/>
        <w:rPr/>
      </w:pPr>
      <w:r/>
    </w:p>
    <w:p>
      <w:pPr>
        <w:pStyle w:val="BodyText"/>
        <w:ind w:left="8017"/>
        <w:spacing w:before="102" w:line="175" w:lineRule="auto"/>
        <w:rPr/>
      </w:pPr>
      <w:r>
        <w:rPr>
          <w:color w:val="231F20"/>
          <w:spacing w:val="-2"/>
        </w:rPr>
        <w:t>续表</w:t>
      </w:r>
    </w:p>
    <w:p>
      <w:pPr>
        <w:spacing w:line="43" w:lineRule="exact"/>
        <w:rPr/>
      </w:pPr>
      <w:r/>
    </w:p>
    <w:tbl>
      <w:tblPr>
        <w:tblStyle w:val="TableNormal"/>
        <w:tblW w:w="897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628"/>
        <w:gridCol w:w="1383"/>
        <w:gridCol w:w="1142"/>
        <w:gridCol w:w="984"/>
        <w:gridCol w:w="1002"/>
        <w:gridCol w:w="905"/>
        <w:gridCol w:w="994"/>
        <w:gridCol w:w="934"/>
      </w:tblGrid>
      <w:tr>
        <w:trPr>
          <w:trHeight w:val="386" w:hRule="atLeast"/>
        </w:trPr>
        <w:tc>
          <w:tcPr>
            <w:shd w:val="clear" w:fill="D4E5F5"/>
            <w:tcW w:w="162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275"/>
              <w:spacing w:before="103" w:line="176" w:lineRule="auto"/>
              <w:rPr/>
            </w:pPr>
            <w:r>
              <w:rPr>
                <w:color w:val="231F20"/>
              </w:rPr>
              <w:t>年</w:t>
            </w:r>
          </w:p>
        </w:tc>
        <w:tc>
          <w:tcPr>
            <w:shd w:val="clear" w:fill="D4E5F5"/>
            <w:tcW w:w="1383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86"/>
              <w:spacing w:before="103" w:line="175" w:lineRule="auto"/>
              <w:rPr/>
            </w:pPr>
            <w:r>
              <w:rPr>
                <w:color w:val="231F20"/>
              </w:rPr>
              <w:t>份</w:t>
            </w:r>
          </w:p>
        </w:tc>
        <w:tc>
          <w:tcPr>
            <w:tcW w:w="114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493"/>
              <w:spacing w:before="97" w:line="193" w:lineRule="auto"/>
              <w:rPr/>
            </w:pPr>
            <w:r>
              <w:rPr>
                <w:color w:val="231F20"/>
                <w:spacing w:val="-9"/>
              </w:rPr>
              <w:t>2019</w:t>
            </w:r>
          </w:p>
        </w:tc>
        <w:tc>
          <w:tcPr>
            <w:shd w:val="clear" w:fill="D4E5F5"/>
            <w:tcW w:w="98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01"/>
              <w:spacing w:before="97" w:line="193" w:lineRule="auto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100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01"/>
              <w:spacing w:before="97" w:line="193" w:lineRule="auto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shd w:val="clear" w:fill="D4E5F5"/>
            <w:tcW w:w="90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57"/>
              <w:spacing w:before="97" w:line="193" w:lineRule="auto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99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01"/>
              <w:spacing w:before="97" w:line="193" w:lineRule="auto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shd w:val="clear" w:fill="D4E5F5"/>
            <w:tcW w:w="93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57"/>
              <w:spacing w:before="97" w:line="193" w:lineRule="auto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</w:tr>
      <w:tr>
        <w:trPr>
          <w:trHeight w:val="1970" w:hRule="atLeast"/>
        </w:trPr>
        <w:tc>
          <w:tcPr>
            <w:shd w:val="clear" w:fill="D4E5F5"/>
            <w:tcW w:w="1628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spacing w:line="411" w:lineRule="auto"/>
              <w:rPr>
                <w:sz w:val="21"/>
              </w:rPr>
            </w:pPr>
            <w:r/>
          </w:p>
          <w:p>
            <w:pPr>
              <w:pStyle w:val="TableText"/>
              <w:ind w:left="60" w:right="306" w:firstLine="4"/>
              <w:spacing w:before="86" w:line="183" w:lineRule="auto"/>
              <w:rPr/>
            </w:pPr>
            <w:r>
              <w:rPr>
                <w:color w:val="231F20"/>
                <w:spacing w:val="-1"/>
              </w:rPr>
              <w:t>沪深股市成交金</w:t>
            </w:r>
            <w:r>
              <w:rPr>
                <w:color w:val="231F20"/>
                <w:spacing w:val="2"/>
              </w:rPr>
              <w:t xml:space="preserve"> </w:t>
            </w:r>
            <w:r>
              <w:rPr>
                <w:color w:val="231F20"/>
              </w:rPr>
              <w:t>额（亿元）</w:t>
            </w:r>
          </w:p>
        </w:tc>
        <w:tc>
          <w:tcPr>
            <w:shd w:val="clear" w:fill="D4E5F5"/>
            <w:tcW w:w="1383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462" w:right="422" w:firstLine="50"/>
              <w:spacing w:before="101" w:line="276" w:lineRule="auto"/>
              <w:rPr/>
            </w:pPr>
            <w:r>
              <w:rPr>
                <w:color w:val="231F20"/>
                <w:spacing w:val="-2"/>
              </w:rPr>
              <w:t>合计</w:t>
            </w:r>
            <w:r>
              <w:rPr>
                <w:color w:val="231F20"/>
              </w:rPr>
              <w:t xml:space="preserve">   </w:t>
            </w:r>
            <w:r>
              <w:rPr>
                <w:color w:val="231F20"/>
                <w:spacing w:val="-15"/>
              </w:rPr>
              <w:t>日平均</w:t>
            </w:r>
          </w:p>
          <w:p>
            <w:pPr>
              <w:pStyle w:val="TableText"/>
              <w:ind w:left="442"/>
              <w:spacing w:before="1" w:line="174" w:lineRule="auto"/>
              <w:rPr/>
            </w:pPr>
            <w:r>
              <w:rPr>
                <w:color w:val="231F20"/>
                <w:spacing w:val="-5"/>
              </w:rPr>
              <w:t>中小板</w:t>
            </w:r>
          </w:p>
          <w:p>
            <w:pPr>
              <w:pStyle w:val="TableText"/>
              <w:ind w:left="423"/>
              <w:spacing w:before="143" w:line="176" w:lineRule="auto"/>
              <w:rPr/>
            </w:pPr>
            <w:r>
              <w:rPr>
                <w:color w:val="231F20"/>
                <w:spacing w:val="-1"/>
              </w:rPr>
              <w:t>创业板</w:t>
            </w:r>
          </w:p>
          <w:p>
            <w:pPr>
              <w:pStyle w:val="TableText"/>
              <w:ind w:left="422"/>
              <w:spacing w:before="142" w:line="176" w:lineRule="auto"/>
              <w:rPr/>
            </w:pPr>
            <w:r>
              <w:rPr>
                <w:color w:val="231F20"/>
                <w:spacing w:val="-1"/>
              </w:rPr>
              <w:t>科创板</w:t>
            </w:r>
          </w:p>
        </w:tc>
        <w:tc>
          <w:tcPr>
            <w:tcW w:w="1142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452"/>
              <w:spacing w:before="98" w:line="209" w:lineRule="auto"/>
              <w:rPr/>
            </w:pPr>
            <w:r>
              <w:rPr>
                <w:color w:val="231F20"/>
                <w:spacing w:val="-12"/>
              </w:rPr>
              <w:t>1274159</w:t>
            </w:r>
          </w:p>
          <w:p>
            <w:pPr>
              <w:pStyle w:val="TableText"/>
              <w:ind w:left="706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5222</w:t>
            </w:r>
          </w:p>
          <w:p>
            <w:pPr>
              <w:pStyle w:val="TableText"/>
              <w:ind w:left="529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310657</w:t>
            </w:r>
          </w:p>
          <w:p>
            <w:pPr>
              <w:pStyle w:val="TableText"/>
              <w:ind w:left="526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231604</w:t>
            </w:r>
          </w:p>
          <w:p>
            <w:pPr>
              <w:pStyle w:val="TableText"/>
              <w:ind w:left="630"/>
              <w:spacing w:before="94" w:line="190" w:lineRule="auto"/>
              <w:rPr/>
            </w:pPr>
            <w:r>
              <w:rPr>
                <w:color w:val="231F20"/>
                <w:spacing w:val="-12"/>
              </w:rPr>
              <w:t>13314</w:t>
            </w:r>
          </w:p>
        </w:tc>
        <w:tc>
          <w:tcPr>
            <w:shd w:val="clear" w:fill="D4E5F5"/>
            <w:tcW w:w="984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72"/>
              <w:spacing w:before="98" w:line="209" w:lineRule="auto"/>
              <w:rPr/>
            </w:pPr>
            <w:r>
              <w:rPr>
                <w:color w:val="231F20"/>
                <w:spacing w:val="-10"/>
              </w:rPr>
              <w:t>2068253</w:t>
            </w:r>
          </w:p>
          <w:p>
            <w:pPr>
              <w:pStyle w:val="TableText"/>
              <w:ind w:left="542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8511</w:t>
            </w:r>
          </w:p>
          <w:p>
            <w:pPr>
              <w:pStyle w:val="TableText"/>
              <w:ind w:left="362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501796</w:t>
            </w:r>
          </w:p>
          <w:p>
            <w:pPr>
              <w:pStyle w:val="TableText"/>
              <w:ind w:left="359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466723</w:t>
            </w:r>
          </w:p>
          <w:p>
            <w:pPr>
              <w:pStyle w:val="TableText"/>
              <w:ind w:left="451"/>
              <w:spacing w:before="94" w:line="190" w:lineRule="auto"/>
              <w:rPr/>
            </w:pPr>
            <w:r>
              <w:rPr>
                <w:color w:val="231F20"/>
                <w:spacing w:val="-10"/>
              </w:rPr>
              <w:t>66230</w:t>
            </w:r>
          </w:p>
        </w:tc>
        <w:tc>
          <w:tcPr>
            <w:tcW w:w="1002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80"/>
              <w:spacing w:before="98" w:line="209" w:lineRule="auto"/>
              <w:rPr/>
            </w:pPr>
            <w:r>
              <w:rPr>
                <w:color w:val="231F20"/>
                <w:spacing w:val="-10"/>
              </w:rPr>
              <w:t>2579734</w:t>
            </w:r>
          </w:p>
          <w:p>
            <w:pPr>
              <w:pStyle w:val="TableText"/>
              <w:ind w:left="473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10660</w:t>
            </w:r>
          </w:p>
          <w:p>
            <w:pPr>
              <w:pStyle w:val="TableText"/>
              <w:ind w:left="810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70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543303</w:t>
            </w:r>
          </w:p>
          <w:p>
            <w:pPr>
              <w:pStyle w:val="TableText"/>
              <w:ind w:left="384"/>
              <w:spacing w:before="94" w:line="190" w:lineRule="auto"/>
              <w:rPr/>
            </w:pPr>
            <w:r>
              <w:rPr>
                <w:color w:val="231F20"/>
                <w:spacing w:val="-12"/>
              </w:rPr>
              <w:t>105422</w:t>
            </w:r>
          </w:p>
        </w:tc>
        <w:tc>
          <w:tcPr>
            <w:shd w:val="clear" w:fill="D4E5F5"/>
            <w:tcW w:w="905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00"/>
              <w:spacing w:before="98" w:line="209" w:lineRule="auto"/>
              <w:rPr/>
            </w:pPr>
            <w:r>
              <w:rPr>
                <w:color w:val="231F20"/>
                <w:spacing w:val="-10"/>
              </w:rPr>
              <w:t>2245095</w:t>
            </w:r>
          </w:p>
          <w:p>
            <w:pPr>
              <w:pStyle w:val="TableText"/>
              <w:ind w:left="468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9277</w:t>
            </w:r>
          </w:p>
          <w:p>
            <w:pPr>
              <w:pStyle w:val="TableText"/>
              <w:ind w:left="730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87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450781</w:t>
            </w:r>
          </w:p>
          <w:p>
            <w:pPr>
              <w:pStyle w:val="TableText"/>
              <w:ind w:left="305"/>
              <w:spacing w:before="94" w:line="190" w:lineRule="auto"/>
              <w:rPr/>
            </w:pPr>
            <w:r>
              <w:rPr>
                <w:color w:val="231F20"/>
                <w:spacing w:val="-12"/>
              </w:rPr>
              <w:t>119869</w:t>
            </w:r>
          </w:p>
        </w:tc>
        <w:tc>
          <w:tcPr>
            <w:tcW w:w="994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72"/>
              <w:spacing w:before="98" w:line="209" w:lineRule="auto"/>
              <w:rPr/>
            </w:pPr>
            <w:r>
              <w:rPr>
                <w:color w:val="231F20"/>
                <w:spacing w:val="-10"/>
              </w:rPr>
              <w:t>2122110</w:t>
            </w:r>
          </w:p>
          <w:p>
            <w:pPr>
              <w:pStyle w:val="TableText"/>
              <w:ind w:left="542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8769</w:t>
            </w:r>
          </w:p>
          <w:p>
            <w:pPr>
              <w:pStyle w:val="TableText"/>
              <w:ind w:left="802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362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535435</w:t>
            </w:r>
          </w:p>
          <w:p>
            <w:pPr>
              <w:pStyle w:val="TableText"/>
              <w:ind w:left="376"/>
              <w:spacing w:before="94" w:line="190" w:lineRule="auto"/>
              <w:rPr/>
            </w:pPr>
            <w:r>
              <w:rPr>
                <w:color w:val="231F20"/>
                <w:spacing w:val="-12"/>
              </w:rPr>
              <w:t>157383</w:t>
            </w:r>
          </w:p>
        </w:tc>
        <w:tc>
          <w:tcPr>
            <w:shd w:val="clear" w:fill="D4E5F5"/>
            <w:tcW w:w="934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01"/>
              <w:spacing w:before="98" w:line="209" w:lineRule="auto"/>
              <w:rPr/>
            </w:pPr>
            <w:r>
              <w:rPr>
                <w:color w:val="231F20"/>
                <w:spacing w:val="-10"/>
              </w:rPr>
              <w:t>2547856</w:t>
            </w:r>
          </w:p>
          <w:p>
            <w:pPr>
              <w:pStyle w:val="TableText"/>
              <w:ind w:left="394"/>
              <w:spacing w:before="95" w:line="209" w:lineRule="auto"/>
              <w:rPr/>
            </w:pPr>
            <w:r>
              <w:rPr>
                <w:color w:val="231F20"/>
                <w:spacing w:val="-12"/>
              </w:rPr>
              <w:t>10528</w:t>
            </w:r>
          </w:p>
          <w:p>
            <w:pPr>
              <w:pStyle w:val="TableText"/>
              <w:ind w:left="730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291"/>
              <w:spacing w:before="138" w:line="209" w:lineRule="auto"/>
              <w:rPr/>
            </w:pPr>
            <w:r>
              <w:rPr>
                <w:color w:val="231F20"/>
                <w:spacing w:val="-10"/>
              </w:rPr>
              <w:t>674650</w:t>
            </w:r>
          </w:p>
          <w:p>
            <w:pPr>
              <w:pStyle w:val="TableText"/>
              <w:ind w:left="305"/>
              <w:spacing w:before="94" w:line="190" w:lineRule="auto"/>
              <w:rPr/>
            </w:pPr>
            <w:r>
              <w:rPr>
                <w:color w:val="231F20"/>
                <w:spacing w:val="-12"/>
              </w:rPr>
              <w:t>169461</w:t>
            </w:r>
          </w:p>
        </w:tc>
      </w:tr>
      <w:tr>
        <w:trPr>
          <w:trHeight w:val="1178" w:hRule="atLeast"/>
        </w:trPr>
        <w:tc>
          <w:tcPr>
            <w:shd w:val="clear" w:fill="D4E5F5"/>
            <w:tcW w:w="1628" w:type="dxa"/>
            <w:vAlign w:val="top"/>
            <w:tcBorders>
              <w:top w:val="single" w:color="231F20" w:sz="4" w:space="0"/>
              <w:bottom w:val="single" w:color="231F20" w:sz="2" w:space="0"/>
            </w:tcBorders>
          </w:tcPr>
          <w:p>
            <w:pPr>
              <w:pStyle w:val="TableText"/>
              <w:ind w:left="74" w:right="671" w:hanging="15"/>
              <w:spacing w:before="383" w:line="196" w:lineRule="auto"/>
              <w:rPr/>
            </w:pPr>
            <w:r>
              <w:rPr>
                <w:color w:val="231F20"/>
                <w:spacing w:val="-1"/>
              </w:rPr>
              <w:t>平均换手率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%</w:t>
            </w:r>
          </w:p>
        </w:tc>
        <w:tc>
          <w:tcPr>
            <w:shd w:val="clear" w:fill="D4E5F5"/>
            <w:tcW w:w="1383" w:type="dxa"/>
            <w:vAlign w:val="top"/>
            <w:tcBorders>
              <w:top w:val="single" w:color="231F20" w:sz="4" w:space="0"/>
              <w:bottom w:val="single" w:color="231F20" w:sz="2" w:space="0"/>
            </w:tcBorders>
          </w:tcPr>
          <w:p>
            <w:pPr>
              <w:pStyle w:val="TableText"/>
              <w:ind w:left="514"/>
              <w:spacing w:before="110" w:line="174" w:lineRule="auto"/>
              <w:rPr/>
            </w:pPr>
            <w:r>
              <w:rPr>
                <w:color w:val="231F20"/>
                <w:spacing w:val="-2"/>
              </w:rPr>
              <w:t>上海</w:t>
            </w:r>
          </w:p>
          <w:p>
            <w:pPr>
              <w:pStyle w:val="TableText"/>
              <w:ind w:left="515"/>
              <w:spacing w:before="145" w:line="174" w:lineRule="auto"/>
              <w:rPr/>
            </w:pPr>
            <w:r>
              <w:rPr>
                <w:color w:val="231F20"/>
                <w:spacing w:val="-2"/>
              </w:rPr>
              <w:t>深圳</w:t>
            </w:r>
          </w:p>
          <w:p>
            <w:pPr>
              <w:pStyle w:val="TableText"/>
              <w:ind w:left="514"/>
              <w:spacing w:before="145" w:line="173" w:lineRule="auto"/>
              <w:rPr/>
            </w:pPr>
            <w:r>
              <w:rPr>
                <w:color w:val="231F20"/>
                <w:spacing w:val="-1"/>
              </w:rPr>
              <w:t>北京</w:t>
            </w:r>
          </w:p>
        </w:tc>
        <w:tc>
          <w:tcPr>
            <w:tcW w:w="1142" w:type="dxa"/>
            <w:vAlign w:val="top"/>
            <w:tcBorders>
              <w:top w:val="single" w:color="231F20" w:sz="4" w:space="0"/>
              <w:bottom w:val="single" w:color="231F20" w:sz="2" w:space="0"/>
            </w:tcBorders>
          </w:tcPr>
          <w:p>
            <w:pPr>
              <w:pStyle w:val="TableText"/>
              <w:ind w:left="675"/>
              <w:spacing w:before="103" w:line="209" w:lineRule="auto"/>
              <w:rPr/>
            </w:pPr>
            <w:r>
              <w:rPr>
                <w:color w:val="231F20"/>
                <w:spacing w:val="-11"/>
              </w:rPr>
              <w:t>193.4</w:t>
            </w:r>
          </w:p>
          <w:p>
            <w:pPr>
              <w:pStyle w:val="TableText"/>
              <w:ind w:left="658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454.9</w:t>
            </w:r>
          </w:p>
          <w:p>
            <w:pPr>
              <w:pStyle w:val="TableText"/>
              <w:ind w:left="96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</w:tc>
        <w:tc>
          <w:tcPr>
            <w:shd w:val="clear" w:fill="D4E5F5"/>
            <w:tcW w:w="984" w:type="dxa"/>
            <w:vAlign w:val="top"/>
            <w:tcBorders>
              <w:top w:val="single" w:color="231F20" w:sz="4" w:space="0"/>
              <w:bottom w:val="single" w:color="231F20" w:sz="2" w:space="0"/>
            </w:tcBorders>
          </w:tcPr>
          <w:p>
            <w:pPr>
              <w:pStyle w:val="TableText"/>
              <w:ind w:left="496"/>
              <w:spacing w:before="103" w:line="209" w:lineRule="auto"/>
              <w:rPr/>
            </w:pPr>
            <w:r>
              <w:rPr>
                <w:color w:val="231F20"/>
                <w:spacing w:val="-9"/>
              </w:rPr>
              <w:t>258.8</w:t>
            </w:r>
          </w:p>
          <w:p>
            <w:pPr>
              <w:pStyle w:val="TableText"/>
              <w:ind w:left="496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555.8</w:t>
            </w:r>
          </w:p>
          <w:p>
            <w:pPr>
              <w:pStyle w:val="TableText"/>
              <w:ind w:left="801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</w:tc>
        <w:tc>
          <w:tcPr>
            <w:tcW w:w="1002" w:type="dxa"/>
            <w:vAlign w:val="top"/>
            <w:tcBorders>
              <w:top w:val="single" w:color="231F20" w:sz="4" w:space="0"/>
              <w:bottom w:val="single" w:color="231F20" w:sz="2" w:space="0"/>
            </w:tcBorders>
          </w:tcPr>
          <w:p>
            <w:pPr>
              <w:pStyle w:val="TableText"/>
              <w:ind w:left="504"/>
              <w:spacing w:before="103" w:line="209" w:lineRule="auto"/>
              <w:rPr/>
            </w:pPr>
            <w:r>
              <w:rPr>
                <w:color w:val="231F20"/>
                <w:spacing w:val="-9"/>
              </w:rPr>
              <w:t>223.0</w:t>
            </w:r>
          </w:p>
          <w:p>
            <w:pPr>
              <w:pStyle w:val="TableText"/>
              <w:ind w:left="504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523.4</w:t>
            </w:r>
          </w:p>
          <w:p>
            <w:pPr>
              <w:pStyle w:val="TableText"/>
              <w:ind w:left="504"/>
              <w:spacing w:before="95" w:line="188" w:lineRule="auto"/>
              <w:rPr/>
            </w:pPr>
            <w:r>
              <w:rPr>
                <w:color w:val="231F20"/>
                <w:spacing w:val="-9"/>
              </w:rPr>
              <w:t>206.5</w:t>
            </w:r>
          </w:p>
        </w:tc>
        <w:tc>
          <w:tcPr>
            <w:shd w:val="clear" w:fill="D4E5F5"/>
            <w:tcW w:w="905" w:type="dxa"/>
            <w:vAlign w:val="top"/>
            <w:tcBorders>
              <w:top w:val="single" w:color="231F20" w:sz="4" w:space="0"/>
              <w:bottom w:val="single" w:color="231F20" w:sz="2" w:space="0"/>
            </w:tcBorders>
          </w:tcPr>
          <w:p>
            <w:pPr>
              <w:pStyle w:val="TableText"/>
              <w:ind w:left="424"/>
              <w:spacing w:before="103" w:line="209" w:lineRule="auto"/>
              <w:rPr/>
            </w:pPr>
            <w:r>
              <w:rPr>
                <w:color w:val="231F20"/>
                <w:spacing w:val="-9"/>
              </w:rPr>
              <w:t>239.8</w:t>
            </w:r>
          </w:p>
          <w:p>
            <w:pPr>
              <w:pStyle w:val="TableText"/>
              <w:ind w:left="421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499.5</w:t>
            </w:r>
          </w:p>
          <w:p>
            <w:pPr>
              <w:pStyle w:val="TableText"/>
              <w:ind w:left="350"/>
              <w:spacing w:before="95" w:line="188" w:lineRule="auto"/>
              <w:rPr/>
            </w:pPr>
            <w:r>
              <w:rPr>
                <w:color w:val="231F20"/>
                <w:spacing w:val="-11"/>
              </w:rPr>
              <w:t>172.95</w:t>
            </w:r>
          </w:p>
        </w:tc>
        <w:tc>
          <w:tcPr>
            <w:tcW w:w="994" w:type="dxa"/>
            <w:vAlign w:val="top"/>
            <w:tcBorders>
              <w:top w:val="single" w:color="231F20" w:sz="4" w:space="0"/>
              <w:bottom w:val="single" w:color="231F20" w:sz="2" w:space="0"/>
            </w:tcBorders>
          </w:tcPr>
          <w:p>
            <w:pPr>
              <w:pStyle w:val="TableText"/>
              <w:ind w:left="496"/>
              <w:spacing w:before="103" w:line="209" w:lineRule="auto"/>
              <w:rPr/>
            </w:pPr>
            <w:r>
              <w:rPr>
                <w:color w:val="231F20"/>
                <w:spacing w:val="-9"/>
              </w:rPr>
              <w:t>207.8</w:t>
            </w:r>
          </w:p>
          <w:p>
            <w:pPr>
              <w:pStyle w:val="TableText"/>
              <w:ind w:left="493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448.2</w:t>
            </w:r>
          </w:p>
          <w:p>
            <w:pPr>
              <w:pStyle w:val="TableText"/>
              <w:ind w:left="493"/>
              <w:spacing w:before="95" w:line="188" w:lineRule="auto"/>
              <w:rPr/>
            </w:pPr>
            <w:r>
              <w:rPr>
                <w:color w:val="231F20"/>
                <w:spacing w:val="-8"/>
              </w:rPr>
              <w:t>419.2</w:t>
            </w:r>
          </w:p>
        </w:tc>
        <w:tc>
          <w:tcPr>
            <w:shd w:val="clear" w:fill="D4E5F5"/>
            <w:tcW w:w="934" w:type="dxa"/>
            <w:vAlign w:val="top"/>
            <w:tcBorders>
              <w:top w:val="single" w:color="231F20" w:sz="4" w:space="0"/>
              <w:bottom w:val="single" w:color="231F20" w:sz="2" w:space="0"/>
            </w:tcBorders>
          </w:tcPr>
          <w:p>
            <w:pPr>
              <w:pStyle w:val="TableText"/>
              <w:ind w:left="424"/>
              <w:spacing w:before="103" w:line="209" w:lineRule="auto"/>
              <w:rPr/>
            </w:pPr>
            <w:r>
              <w:rPr>
                <w:color w:val="231F20"/>
                <w:spacing w:val="-9"/>
              </w:rPr>
              <w:t>239.6</w:t>
            </w:r>
          </w:p>
          <w:p>
            <w:pPr>
              <w:pStyle w:val="TableText"/>
              <w:ind w:left="425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580.5</w:t>
            </w:r>
          </w:p>
          <w:p>
            <w:pPr>
              <w:pStyle w:val="TableText"/>
              <w:ind w:left="350"/>
              <w:spacing w:before="95" w:line="188" w:lineRule="auto"/>
              <w:rPr/>
            </w:pPr>
            <w:r>
              <w:rPr>
                <w:color w:val="231F20"/>
                <w:spacing w:val="-11"/>
              </w:rPr>
              <w:t>1102.8</w:t>
            </w:r>
          </w:p>
        </w:tc>
      </w:tr>
      <w:tr>
        <w:trPr>
          <w:trHeight w:val="2372" w:hRule="atLeast"/>
        </w:trPr>
        <w:tc>
          <w:tcPr>
            <w:shd w:val="clear" w:fill="D4E5F5"/>
            <w:tcW w:w="1628" w:type="dxa"/>
            <w:vAlign w:val="top"/>
            <w:tcBorders>
              <w:bottom w:val="single" w:color="231F20" w:sz="4" w:space="0"/>
              <w:top w:val="single" w:color="231F20" w:sz="2" w:space="0"/>
            </w:tcBorders>
          </w:tcPr>
          <w:p>
            <w:pPr>
              <w:pStyle w:val="TableText"/>
              <w:spacing w:line="302" w:lineRule="auto"/>
              <w:rPr>
                <w:sz w:val="21"/>
              </w:rPr>
            </w:pPr>
            <w:r/>
          </w:p>
          <w:p>
            <w:pPr>
              <w:pStyle w:val="TableText"/>
              <w:spacing w:line="303" w:lineRule="auto"/>
              <w:rPr>
                <w:sz w:val="21"/>
              </w:rPr>
            </w:pPr>
            <w:r/>
          </w:p>
          <w:p>
            <w:pPr>
              <w:pStyle w:val="TableText"/>
              <w:ind w:left="59"/>
              <w:spacing w:before="86" w:line="179" w:lineRule="auto"/>
              <w:rPr/>
            </w:pPr>
            <w:r>
              <w:rPr>
                <w:color w:val="231F20"/>
                <w:spacing w:val="-1"/>
              </w:rPr>
              <w:t>平均市盈率</w:t>
            </w:r>
          </w:p>
        </w:tc>
        <w:tc>
          <w:tcPr>
            <w:shd w:val="clear" w:fill="D4E5F5"/>
            <w:tcW w:w="1383" w:type="dxa"/>
            <w:vAlign w:val="top"/>
            <w:tcBorders>
              <w:bottom w:val="single" w:color="231F20" w:sz="4" w:space="0"/>
              <w:top w:val="single" w:color="231F20" w:sz="2" w:space="0"/>
            </w:tcBorders>
          </w:tcPr>
          <w:p>
            <w:pPr>
              <w:pStyle w:val="TableText"/>
              <w:ind w:left="514"/>
              <w:spacing w:before="117" w:line="174" w:lineRule="auto"/>
              <w:rPr/>
            </w:pPr>
            <w:r>
              <w:rPr>
                <w:color w:val="231F20"/>
                <w:spacing w:val="-2"/>
              </w:rPr>
              <w:t>上海</w:t>
            </w:r>
          </w:p>
          <w:p>
            <w:pPr>
              <w:pStyle w:val="TableText"/>
              <w:ind w:left="515"/>
              <w:spacing w:before="145" w:line="174" w:lineRule="auto"/>
              <w:rPr/>
            </w:pPr>
            <w:r>
              <w:rPr>
                <w:color w:val="231F20"/>
                <w:spacing w:val="-2"/>
              </w:rPr>
              <w:t>深圳</w:t>
            </w:r>
          </w:p>
          <w:p>
            <w:pPr>
              <w:pStyle w:val="TableText"/>
              <w:ind w:left="514"/>
              <w:spacing w:before="145" w:line="173" w:lineRule="auto"/>
              <w:rPr/>
            </w:pPr>
            <w:r>
              <w:rPr>
                <w:color w:val="231F20"/>
                <w:spacing w:val="-1"/>
              </w:rPr>
              <w:t>北京</w:t>
            </w:r>
          </w:p>
          <w:p>
            <w:pPr>
              <w:pStyle w:val="TableText"/>
              <w:ind w:left="442"/>
              <w:spacing w:before="145" w:line="175" w:lineRule="auto"/>
              <w:rPr/>
            </w:pPr>
            <w:r>
              <w:rPr>
                <w:color w:val="231F20"/>
                <w:spacing w:val="-5"/>
              </w:rPr>
              <w:t>中小板</w:t>
            </w:r>
          </w:p>
          <w:p>
            <w:pPr>
              <w:pStyle w:val="TableText"/>
              <w:ind w:left="423"/>
              <w:spacing w:before="144" w:line="176" w:lineRule="auto"/>
              <w:rPr/>
            </w:pPr>
            <w:r>
              <w:rPr>
                <w:color w:val="231F20"/>
                <w:spacing w:val="-1"/>
              </w:rPr>
              <w:t>创业板</w:t>
            </w:r>
          </w:p>
          <w:p>
            <w:pPr>
              <w:pStyle w:val="TableText"/>
              <w:ind w:left="422"/>
              <w:spacing w:before="143" w:line="176" w:lineRule="auto"/>
              <w:rPr/>
            </w:pPr>
            <w:r>
              <w:rPr>
                <w:color w:val="231F20"/>
                <w:spacing w:val="-1"/>
              </w:rPr>
              <w:t>科创板</w:t>
            </w:r>
          </w:p>
        </w:tc>
        <w:tc>
          <w:tcPr>
            <w:tcW w:w="1142" w:type="dxa"/>
            <w:vAlign w:val="top"/>
            <w:tcBorders>
              <w:bottom w:val="single" w:color="231F20" w:sz="4" w:space="0"/>
              <w:top w:val="single" w:color="231F20" w:sz="2" w:space="0"/>
            </w:tcBorders>
          </w:tcPr>
          <w:p>
            <w:pPr>
              <w:pStyle w:val="TableText"/>
              <w:ind w:left="765"/>
              <w:spacing w:before="110" w:line="209" w:lineRule="auto"/>
              <w:rPr/>
            </w:pPr>
            <w:r>
              <w:rPr>
                <w:color w:val="231F20"/>
                <w:spacing w:val="-11"/>
              </w:rPr>
              <w:t>15.6</w:t>
            </w:r>
          </w:p>
          <w:p>
            <w:pPr>
              <w:pStyle w:val="TableText"/>
              <w:ind w:left="753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35.6</w:t>
            </w:r>
          </w:p>
          <w:p>
            <w:pPr>
              <w:pStyle w:val="TableText"/>
              <w:ind w:left="967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750"/>
              <w:spacing w:before="138" w:line="209" w:lineRule="auto"/>
              <w:rPr/>
            </w:pPr>
            <w:r>
              <w:rPr>
                <w:color w:val="231F20"/>
                <w:spacing w:val="-8"/>
              </w:rPr>
              <w:t>28.5</w:t>
            </w:r>
          </w:p>
          <w:p>
            <w:pPr>
              <w:pStyle w:val="TableText"/>
              <w:ind w:left="747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47.0</w:t>
            </w:r>
          </w:p>
          <w:p>
            <w:pPr>
              <w:pStyle w:val="TableText"/>
              <w:ind w:left="749"/>
              <w:spacing w:before="95" w:line="185" w:lineRule="auto"/>
              <w:rPr/>
            </w:pPr>
            <w:r>
              <w:rPr>
                <w:color w:val="231F20"/>
                <w:spacing w:val="-8"/>
              </w:rPr>
              <w:t>77.1</w:t>
            </w:r>
          </w:p>
        </w:tc>
        <w:tc>
          <w:tcPr>
            <w:shd w:val="clear" w:fill="D4E5F5"/>
            <w:tcW w:w="984" w:type="dxa"/>
            <w:vAlign w:val="top"/>
            <w:tcBorders>
              <w:bottom w:val="single" w:color="231F20" w:sz="4" w:space="0"/>
              <w:top w:val="single" w:color="231F20" w:sz="2" w:space="0"/>
            </w:tcBorders>
          </w:tcPr>
          <w:p>
            <w:pPr>
              <w:pStyle w:val="TableText"/>
              <w:ind w:left="600"/>
              <w:spacing w:before="110" w:line="209" w:lineRule="auto"/>
              <w:rPr/>
            </w:pPr>
            <w:r>
              <w:rPr>
                <w:color w:val="231F20"/>
                <w:spacing w:val="-11"/>
              </w:rPr>
              <w:t>16.1</w:t>
            </w:r>
          </w:p>
          <w:p>
            <w:pPr>
              <w:pStyle w:val="TableText"/>
              <w:ind w:left="588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33.5</w:t>
            </w:r>
          </w:p>
          <w:p>
            <w:pPr>
              <w:pStyle w:val="TableText"/>
              <w:ind w:left="801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588"/>
              <w:spacing w:before="138" w:line="209" w:lineRule="auto"/>
              <w:rPr/>
            </w:pPr>
            <w:r>
              <w:rPr>
                <w:color w:val="231F20"/>
                <w:spacing w:val="-9"/>
              </w:rPr>
              <w:t>35.8</w:t>
            </w:r>
          </w:p>
          <w:p>
            <w:pPr>
              <w:pStyle w:val="TableText"/>
              <w:ind w:left="586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64.9</w:t>
            </w:r>
          </w:p>
          <w:p>
            <w:pPr>
              <w:pStyle w:val="TableText"/>
              <w:ind w:left="585"/>
              <w:spacing w:before="95" w:line="185" w:lineRule="auto"/>
              <w:rPr/>
            </w:pPr>
            <w:r>
              <w:rPr>
                <w:color w:val="231F20"/>
                <w:spacing w:val="-8"/>
              </w:rPr>
              <w:t>91.1</w:t>
            </w:r>
          </w:p>
        </w:tc>
        <w:tc>
          <w:tcPr>
            <w:tcW w:w="1002" w:type="dxa"/>
            <w:vAlign w:val="top"/>
            <w:tcBorders>
              <w:bottom w:val="single" w:color="231F20" w:sz="4" w:space="0"/>
              <w:top w:val="single" w:color="231F20" w:sz="2" w:space="0"/>
            </w:tcBorders>
          </w:tcPr>
          <w:p>
            <w:pPr>
              <w:pStyle w:val="TableText"/>
              <w:ind w:left="593"/>
              <w:spacing w:before="110" w:line="209" w:lineRule="auto"/>
              <w:rPr/>
            </w:pPr>
            <w:r>
              <w:rPr>
                <w:color w:val="231F20"/>
                <w:spacing w:val="-8"/>
              </w:rPr>
              <w:t>20.9</w:t>
            </w:r>
          </w:p>
          <w:p>
            <w:pPr>
              <w:pStyle w:val="TableText"/>
              <w:ind w:left="596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33.0</w:t>
            </w:r>
          </w:p>
          <w:p>
            <w:pPr>
              <w:pStyle w:val="TableText"/>
              <w:ind w:left="590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46.7</w:t>
            </w:r>
          </w:p>
          <w:p>
            <w:pPr>
              <w:pStyle w:val="TableText"/>
              <w:ind w:left="810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594"/>
              <w:spacing w:before="138" w:line="209" w:lineRule="auto"/>
              <w:rPr/>
            </w:pPr>
            <w:r>
              <w:rPr>
                <w:color w:val="231F20"/>
                <w:spacing w:val="-8"/>
              </w:rPr>
              <w:t>60.0</w:t>
            </w:r>
          </w:p>
          <w:p>
            <w:pPr>
              <w:pStyle w:val="TableText"/>
              <w:ind w:left="592"/>
              <w:spacing w:before="95" w:line="185" w:lineRule="auto"/>
              <w:rPr/>
            </w:pPr>
            <w:r>
              <w:rPr>
                <w:color w:val="231F20"/>
                <w:spacing w:val="-8"/>
              </w:rPr>
              <w:t>75.6</w:t>
            </w:r>
          </w:p>
        </w:tc>
        <w:tc>
          <w:tcPr>
            <w:shd w:val="clear" w:fill="D4E5F5"/>
            <w:tcW w:w="905" w:type="dxa"/>
            <w:vAlign w:val="top"/>
            <w:tcBorders>
              <w:bottom w:val="single" w:color="231F20" w:sz="4" w:space="0"/>
              <w:top w:val="single" w:color="231F20" w:sz="2" w:space="0"/>
            </w:tcBorders>
          </w:tcPr>
          <w:p>
            <w:pPr>
              <w:pStyle w:val="TableText"/>
              <w:ind w:left="528"/>
              <w:spacing w:before="110" w:line="209" w:lineRule="auto"/>
              <w:rPr/>
            </w:pPr>
            <w:r>
              <w:rPr>
                <w:color w:val="231F20"/>
                <w:spacing w:val="-11"/>
              </w:rPr>
              <w:t>12.8</w:t>
            </w:r>
          </w:p>
          <w:p>
            <w:pPr>
              <w:pStyle w:val="TableText"/>
              <w:ind w:left="513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23.4</w:t>
            </w:r>
          </w:p>
          <w:p>
            <w:pPr>
              <w:pStyle w:val="TableText"/>
              <w:ind w:left="528"/>
              <w:spacing w:before="95" w:line="209" w:lineRule="auto"/>
              <w:rPr/>
            </w:pPr>
            <w:r>
              <w:rPr>
                <w:color w:val="231F20"/>
                <w:spacing w:val="-11"/>
              </w:rPr>
              <w:t>18.9</w:t>
            </w:r>
          </w:p>
          <w:p>
            <w:pPr>
              <w:pStyle w:val="TableText"/>
              <w:ind w:left="730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516"/>
              <w:spacing w:before="138" w:line="209" w:lineRule="auto"/>
              <w:rPr/>
            </w:pPr>
            <w:r>
              <w:rPr>
                <w:color w:val="231F20"/>
                <w:spacing w:val="-9"/>
              </w:rPr>
              <w:t>37.9</w:t>
            </w:r>
          </w:p>
          <w:p>
            <w:pPr>
              <w:pStyle w:val="TableText"/>
              <w:ind w:left="511"/>
              <w:spacing w:before="95" w:line="185" w:lineRule="auto"/>
              <w:rPr/>
            </w:pPr>
            <w:r>
              <w:rPr>
                <w:color w:val="231F20"/>
                <w:spacing w:val="-8"/>
              </w:rPr>
              <w:t>44.2</w:t>
            </w:r>
          </w:p>
        </w:tc>
        <w:tc>
          <w:tcPr>
            <w:tcW w:w="994" w:type="dxa"/>
            <w:vAlign w:val="top"/>
            <w:tcBorders>
              <w:bottom w:val="single" w:color="231F20" w:sz="4" w:space="0"/>
              <w:top w:val="single" w:color="231F20" w:sz="2" w:space="0"/>
            </w:tcBorders>
          </w:tcPr>
          <w:p>
            <w:pPr>
              <w:pStyle w:val="TableText"/>
              <w:ind w:left="600"/>
              <w:spacing w:before="110" w:line="209" w:lineRule="auto"/>
              <w:rPr/>
            </w:pPr>
            <w:r>
              <w:rPr>
                <w:color w:val="231F20"/>
                <w:spacing w:val="-11"/>
              </w:rPr>
              <w:t>11.9</w:t>
            </w:r>
          </w:p>
          <w:p>
            <w:pPr>
              <w:pStyle w:val="TableText"/>
              <w:ind w:left="585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21.6</w:t>
            </w:r>
          </w:p>
          <w:p>
            <w:pPr>
              <w:pStyle w:val="TableText"/>
              <w:ind w:left="585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24.2</w:t>
            </w:r>
          </w:p>
          <w:p>
            <w:pPr>
              <w:pStyle w:val="TableText"/>
              <w:ind w:left="802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588"/>
              <w:spacing w:before="138" w:line="209" w:lineRule="auto"/>
              <w:rPr/>
            </w:pPr>
            <w:r>
              <w:rPr>
                <w:color w:val="231F20"/>
                <w:spacing w:val="-9"/>
              </w:rPr>
              <w:t>32.9</w:t>
            </w:r>
          </w:p>
          <w:p>
            <w:pPr>
              <w:pStyle w:val="TableText"/>
              <w:ind w:left="588"/>
              <w:spacing w:before="95" w:line="185" w:lineRule="auto"/>
              <w:rPr/>
            </w:pPr>
            <w:r>
              <w:rPr>
                <w:color w:val="231F20"/>
                <w:spacing w:val="-9"/>
              </w:rPr>
              <w:t>35.5</w:t>
            </w:r>
          </w:p>
        </w:tc>
        <w:tc>
          <w:tcPr>
            <w:shd w:val="clear" w:fill="D4E5F5"/>
            <w:tcW w:w="934" w:type="dxa"/>
            <w:vAlign w:val="top"/>
            <w:tcBorders>
              <w:bottom w:val="single" w:color="231F20" w:sz="4" w:space="0"/>
              <w:top w:val="single" w:color="231F20" w:sz="2" w:space="0"/>
            </w:tcBorders>
          </w:tcPr>
          <w:p>
            <w:pPr>
              <w:pStyle w:val="TableText"/>
              <w:ind w:left="528"/>
              <w:spacing w:before="110" w:line="209" w:lineRule="auto"/>
              <w:rPr/>
            </w:pPr>
            <w:r>
              <w:rPr>
                <w:color w:val="231F20"/>
                <w:spacing w:val="-11"/>
              </w:rPr>
              <w:t>14.2</w:t>
            </w:r>
          </w:p>
          <w:p>
            <w:pPr>
              <w:pStyle w:val="TableText"/>
              <w:ind w:left="514"/>
              <w:spacing w:before="95" w:line="209" w:lineRule="auto"/>
              <w:rPr/>
            </w:pPr>
            <w:r>
              <w:rPr>
                <w:color w:val="231F20"/>
                <w:spacing w:val="-8"/>
              </w:rPr>
              <w:t>24.0</w:t>
            </w:r>
          </w:p>
          <w:p>
            <w:pPr>
              <w:pStyle w:val="TableText"/>
              <w:ind w:left="516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31.7</w:t>
            </w:r>
          </w:p>
          <w:p>
            <w:pPr>
              <w:pStyle w:val="TableText"/>
              <w:ind w:left="730"/>
              <w:spacing w:before="201" w:line="153" w:lineRule="exact"/>
              <w:rPr/>
            </w:pPr>
            <w:r>
              <w:rPr>
                <w:color w:val="231F20"/>
                <w:spacing w:val="16"/>
                <w:w w:val="119"/>
                <w:position w:val="-7"/>
              </w:rPr>
              <w:t>-</w:t>
            </w:r>
          </w:p>
          <w:p>
            <w:pPr>
              <w:pStyle w:val="TableText"/>
              <w:ind w:left="516"/>
              <w:spacing w:before="138" w:line="209" w:lineRule="auto"/>
              <w:rPr/>
            </w:pPr>
            <w:r>
              <w:rPr>
                <w:color w:val="231F20"/>
                <w:spacing w:val="-9"/>
              </w:rPr>
              <w:t>36.1</w:t>
            </w:r>
          </w:p>
          <w:p>
            <w:pPr>
              <w:pStyle w:val="TableText"/>
              <w:ind w:left="511"/>
              <w:spacing w:before="95" w:line="185" w:lineRule="auto"/>
              <w:rPr/>
            </w:pPr>
            <w:r>
              <w:rPr>
                <w:color w:val="231F20"/>
                <w:spacing w:val="-8"/>
              </w:rPr>
              <w:t>40.9</w:t>
            </w:r>
          </w:p>
        </w:tc>
      </w:tr>
      <w:tr>
        <w:trPr>
          <w:trHeight w:val="2367" w:hRule="atLeast"/>
        </w:trPr>
        <w:tc>
          <w:tcPr>
            <w:shd w:val="clear" w:fill="D4E5F5"/>
            <w:tcW w:w="1628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spacing w:line="302" w:lineRule="auto"/>
              <w:rPr>
                <w:sz w:val="21"/>
              </w:rPr>
            </w:pPr>
            <w:r/>
          </w:p>
          <w:p>
            <w:pPr>
              <w:pStyle w:val="TableText"/>
              <w:spacing w:line="302" w:lineRule="auto"/>
              <w:rPr>
                <w:sz w:val="21"/>
              </w:rPr>
            </w:pPr>
            <w:r/>
          </w:p>
          <w:p>
            <w:pPr>
              <w:pStyle w:val="TableText"/>
              <w:ind w:left="60"/>
              <w:spacing w:before="88" w:line="178" w:lineRule="auto"/>
              <w:rPr/>
            </w:pPr>
            <w:r>
              <w:rPr>
                <w:color w:val="231F20"/>
                <w:spacing w:val="-1"/>
              </w:rPr>
              <w:t>上证综合指数</w:t>
            </w:r>
          </w:p>
        </w:tc>
        <w:tc>
          <w:tcPr>
            <w:shd w:val="clear" w:fill="D4E5F5"/>
            <w:tcW w:w="1383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517"/>
              <w:spacing w:before="115" w:line="171" w:lineRule="auto"/>
              <w:rPr/>
            </w:pPr>
            <w:r>
              <w:rPr>
                <w:color w:val="231F20"/>
                <w:spacing w:val="-2"/>
              </w:rPr>
              <w:t>开盘</w:t>
            </w:r>
          </w:p>
          <w:p>
            <w:pPr>
              <w:pStyle w:val="TableText"/>
              <w:ind w:left="514"/>
              <w:spacing w:before="147" w:line="178" w:lineRule="auto"/>
              <w:rPr/>
            </w:pPr>
            <w:r>
              <w:rPr>
                <w:color w:val="231F20"/>
                <w:spacing w:val="-2"/>
              </w:rPr>
              <w:t>最高</w:t>
            </w:r>
          </w:p>
          <w:p>
            <w:pPr>
              <w:pStyle w:val="TableText"/>
              <w:ind w:left="516"/>
              <w:spacing w:before="146" w:line="170" w:lineRule="auto"/>
              <w:rPr/>
            </w:pPr>
            <w:r>
              <w:rPr>
                <w:color w:val="231F20"/>
                <w:spacing w:val="-2"/>
              </w:rPr>
              <w:t>月日</w:t>
            </w:r>
          </w:p>
          <w:p>
            <w:pPr>
              <w:pStyle w:val="TableText"/>
              <w:ind w:left="514"/>
              <w:spacing w:before="146" w:line="176" w:lineRule="auto"/>
              <w:rPr/>
            </w:pPr>
            <w:r>
              <w:rPr>
                <w:color w:val="231F20"/>
                <w:spacing w:val="-2"/>
              </w:rPr>
              <w:t>最低</w:t>
            </w:r>
          </w:p>
          <w:p>
            <w:pPr>
              <w:pStyle w:val="TableText"/>
              <w:ind w:left="516"/>
              <w:spacing w:before="147" w:line="170" w:lineRule="auto"/>
              <w:rPr/>
            </w:pPr>
            <w:r>
              <w:rPr>
                <w:color w:val="231F20"/>
                <w:spacing w:val="-2"/>
              </w:rPr>
              <w:t>月日</w:t>
            </w:r>
          </w:p>
          <w:p>
            <w:pPr>
              <w:pStyle w:val="TableText"/>
              <w:ind w:left="520"/>
              <w:spacing w:before="148" w:line="174" w:lineRule="auto"/>
              <w:rPr/>
            </w:pPr>
            <w:r>
              <w:rPr>
                <w:color w:val="231F20"/>
                <w:spacing w:val="-3"/>
              </w:rPr>
              <w:t>收盘</w:t>
            </w:r>
          </w:p>
        </w:tc>
        <w:tc>
          <w:tcPr>
            <w:tcW w:w="1142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482"/>
              <w:spacing w:before="109" w:line="209" w:lineRule="auto"/>
              <w:rPr/>
            </w:pPr>
            <w:r>
              <w:rPr>
                <w:color w:val="231F20"/>
                <w:spacing w:val="-9"/>
              </w:rPr>
              <w:t>2497.88</w:t>
            </w:r>
          </w:p>
          <w:p>
            <w:pPr>
              <w:pStyle w:val="TableText"/>
              <w:ind w:left="485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3288.45</w:t>
            </w:r>
          </w:p>
          <w:p>
            <w:pPr>
              <w:pStyle w:val="TableText"/>
              <w:ind w:left="428"/>
              <w:spacing w:before="95" w:line="188" w:lineRule="auto"/>
              <w:rPr/>
            </w:pPr>
            <w:r>
              <w:rPr>
                <w:color w:val="231F20"/>
                <w:spacing w:val="-13"/>
              </w:rPr>
              <w:t>2019/4/8</w:t>
            </w:r>
          </w:p>
          <w:p>
            <w:pPr>
              <w:pStyle w:val="TableText"/>
              <w:ind w:left="482"/>
              <w:spacing w:before="125" w:line="209" w:lineRule="auto"/>
              <w:rPr/>
            </w:pPr>
            <w:r>
              <w:rPr>
                <w:color w:val="231F20"/>
                <w:spacing w:val="-9"/>
              </w:rPr>
              <w:t>2440.91</w:t>
            </w:r>
          </w:p>
          <w:p>
            <w:pPr>
              <w:pStyle w:val="TableText"/>
              <w:ind w:left="428"/>
              <w:spacing w:before="95" w:line="188" w:lineRule="auto"/>
              <w:rPr/>
            </w:pPr>
            <w:r>
              <w:rPr>
                <w:color w:val="231F20"/>
                <w:spacing w:val="-13"/>
              </w:rPr>
              <w:t>2019/1/4</w:t>
            </w:r>
          </w:p>
          <w:p>
            <w:pPr>
              <w:pStyle w:val="TableText"/>
              <w:ind w:left="485"/>
              <w:spacing w:before="126" w:line="182" w:lineRule="auto"/>
              <w:rPr/>
            </w:pPr>
            <w:r>
              <w:rPr>
                <w:color w:val="231F20"/>
                <w:spacing w:val="-10"/>
              </w:rPr>
              <w:t>3050.12</w:t>
            </w:r>
          </w:p>
        </w:tc>
        <w:tc>
          <w:tcPr>
            <w:shd w:val="clear" w:fill="D4E5F5"/>
            <w:tcW w:w="984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20"/>
              <w:spacing w:before="109" w:line="209" w:lineRule="auto"/>
              <w:rPr/>
            </w:pPr>
            <w:r>
              <w:rPr>
                <w:color w:val="231F20"/>
                <w:spacing w:val="-10"/>
              </w:rPr>
              <w:t>3066.34</w:t>
            </w:r>
          </w:p>
          <w:p>
            <w:pPr>
              <w:pStyle w:val="TableText"/>
              <w:ind w:left="320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3474.92</w:t>
            </w:r>
          </w:p>
          <w:p>
            <w:pPr>
              <w:pStyle w:val="TableText"/>
              <w:ind w:left="84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2020/12/31</w:t>
            </w:r>
          </w:p>
          <w:p>
            <w:pPr>
              <w:pStyle w:val="TableText"/>
              <w:ind w:left="317"/>
              <w:spacing w:before="125" w:line="209" w:lineRule="auto"/>
              <w:rPr/>
            </w:pPr>
            <w:r>
              <w:rPr>
                <w:color w:val="231F20"/>
                <w:spacing w:val="-9"/>
              </w:rPr>
              <w:t>2646.80</w:t>
            </w:r>
          </w:p>
          <w:p>
            <w:pPr>
              <w:pStyle w:val="TableText"/>
              <w:ind w:left="174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2020/3/19</w:t>
            </w:r>
          </w:p>
          <w:p>
            <w:pPr>
              <w:pStyle w:val="TableText"/>
              <w:ind w:left="320"/>
              <w:spacing w:before="126" w:line="182" w:lineRule="auto"/>
              <w:rPr/>
            </w:pPr>
            <w:r>
              <w:rPr>
                <w:color w:val="231F20"/>
                <w:spacing w:val="-10"/>
              </w:rPr>
              <w:t>3473.07</w:t>
            </w:r>
          </w:p>
        </w:tc>
        <w:tc>
          <w:tcPr>
            <w:tcW w:w="1002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28"/>
              <w:spacing w:before="109" w:line="209" w:lineRule="auto"/>
              <w:rPr/>
            </w:pPr>
            <w:r>
              <w:rPr>
                <w:color w:val="231F20"/>
                <w:spacing w:val="-10"/>
              </w:rPr>
              <w:t>3474.68</w:t>
            </w:r>
          </w:p>
          <w:p>
            <w:pPr>
              <w:pStyle w:val="TableText"/>
              <w:ind w:left="328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3731.69</w:t>
            </w:r>
          </w:p>
          <w:p>
            <w:pPr>
              <w:pStyle w:val="TableText"/>
              <w:ind w:left="182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2021/2/18</w:t>
            </w:r>
          </w:p>
          <w:p>
            <w:pPr>
              <w:pStyle w:val="TableText"/>
              <w:ind w:left="328"/>
              <w:spacing w:before="125" w:line="209" w:lineRule="auto"/>
              <w:rPr/>
            </w:pPr>
            <w:r>
              <w:rPr>
                <w:color w:val="231F20"/>
                <w:spacing w:val="-10"/>
              </w:rPr>
              <w:t>3312.72</w:t>
            </w:r>
          </w:p>
          <w:p>
            <w:pPr>
              <w:pStyle w:val="TableText"/>
              <w:ind w:left="182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2021/7/28</w:t>
            </w:r>
          </w:p>
          <w:p>
            <w:pPr>
              <w:pStyle w:val="TableText"/>
              <w:ind w:left="328"/>
              <w:spacing w:before="126" w:line="182" w:lineRule="auto"/>
              <w:rPr/>
            </w:pPr>
            <w:r>
              <w:rPr>
                <w:color w:val="231F20"/>
                <w:spacing w:val="-10"/>
              </w:rPr>
              <w:t>3639.78</w:t>
            </w:r>
          </w:p>
        </w:tc>
        <w:tc>
          <w:tcPr>
            <w:shd w:val="clear" w:fill="D4E5F5"/>
            <w:tcW w:w="905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48"/>
              <w:spacing w:before="109" w:line="209" w:lineRule="auto"/>
              <w:rPr/>
            </w:pPr>
            <w:r>
              <w:rPr>
                <w:color w:val="231F20"/>
                <w:spacing w:val="-10"/>
              </w:rPr>
              <w:t>3649.15</w:t>
            </w:r>
          </w:p>
          <w:p>
            <w:pPr>
              <w:pStyle w:val="TableText"/>
              <w:ind w:left="248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3651.89</w:t>
            </w:r>
          </w:p>
          <w:p>
            <w:pPr>
              <w:pStyle w:val="TableText"/>
              <w:ind w:left="191"/>
              <w:spacing w:before="95" w:line="188" w:lineRule="auto"/>
              <w:rPr/>
            </w:pPr>
            <w:r>
              <w:rPr>
                <w:color w:val="231F20"/>
                <w:spacing w:val="-13"/>
              </w:rPr>
              <w:t>2022/1/4</w:t>
            </w:r>
          </w:p>
          <w:p>
            <w:pPr>
              <w:pStyle w:val="TableText"/>
              <w:ind w:left="245"/>
              <w:spacing w:before="125" w:line="209" w:lineRule="auto"/>
              <w:rPr/>
            </w:pPr>
            <w:r>
              <w:rPr>
                <w:color w:val="231F20"/>
                <w:spacing w:val="-9"/>
              </w:rPr>
              <w:t>2863.65</w:t>
            </w:r>
          </w:p>
          <w:p>
            <w:pPr>
              <w:pStyle w:val="TableText"/>
              <w:ind w:left="102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2022/4/27</w:t>
            </w:r>
          </w:p>
          <w:p>
            <w:pPr>
              <w:pStyle w:val="TableText"/>
              <w:ind w:left="248"/>
              <w:spacing w:before="126" w:line="182" w:lineRule="auto"/>
              <w:rPr/>
            </w:pPr>
            <w:r>
              <w:rPr>
                <w:color w:val="231F20"/>
                <w:spacing w:val="-10"/>
              </w:rPr>
              <w:t>3089.26</w:t>
            </w:r>
          </w:p>
        </w:tc>
        <w:tc>
          <w:tcPr>
            <w:tcW w:w="994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20"/>
              <w:spacing w:before="109" w:line="209" w:lineRule="auto"/>
              <w:rPr/>
            </w:pPr>
            <w:r>
              <w:rPr>
                <w:color w:val="231F20"/>
                <w:spacing w:val="-10"/>
              </w:rPr>
              <w:t>3087.51</w:t>
            </w:r>
          </w:p>
          <w:p>
            <w:pPr>
              <w:pStyle w:val="TableText"/>
              <w:ind w:left="320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3418.95</w:t>
            </w:r>
          </w:p>
          <w:p>
            <w:pPr>
              <w:pStyle w:val="TableText"/>
              <w:ind w:left="263"/>
              <w:spacing w:before="95" w:line="188" w:lineRule="auto"/>
              <w:rPr/>
            </w:pPr>
            <w:r>
              <w:rPr>
                <w:color w:val="231F20"/>
                <w:spacing w:val="-10"/>
                <w:w w:val="97"/>
              </w:rPr>
              <w:t>2023/5/9</w:t>
            </w:r>
          </w:p>
          <w:p>
            <w:pPr>
              <w:pStyle w:val="TableText"/>
              <w:ind w:left="317"/>
              <w:spacing w:before="125" w:line="209" w:lineRule="auto"/>
              <w:rPr/>
            </w:pPr>
            <w:r>
              <w:rPr>
                <w:color w:val="231F20"/>
                <w:spacing w:val="-9"/>
              </w:rPr>
              <w:t>2882.02</w:t>
            </w:r>
          </w:p>
          <w:p>
            <w:pPr>
              <w:pStyle w:val="TableText"/>
              <w:ind w:left="85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2023/12/21</w:t>
            </w:r>
          </w:p>
          <w:p>
            <w:pPr>
              <w:pStyle w:val="TableText"/>
              <w:ind w:left="317"/>
              <w:spacing w:before="126" w:line="182" w:lineRule="auto"/>
              <w:rPr/>
            </w:pPr>
            <w:r>
              <w:rPr>
                <w:color w:val="231F20"/>
                <w:spacing w:val="-9"/>
              </w:rPr>
              <w:t>2974.93</w:t>
            </w:r>
          </w:p>
        </w:tc>
        <w:tc>
          <w:tcPr>
            <w:shd w:val="clear" w:fill="D4E5F5"/>
            <w:tcW w:w="934" w:type="dxa"/>
            <w:vAlign w:val="top"/>
            <w:tcBorders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46"/>
              <w:spacing w:before="109" w:line="209" w:lineRule="auto"/>
              <w:rPr/>
            </w:pPr>
            <w:r>
              <w:rPr>
                <w:color w:val="231F20"/>
                <w:spacing w:val="-9"/>
              </w:rPr>
              <w:t>2972.78</w:t>
            </w:r>
          </w:p>
          <w:p>
            <w:pPr>
              <w:pStyle w:val="TableText"/>
              <w:ind w:left="249"/>
              <w:spacing w:before="95" w:line="209" w:lineRule="auto"/>
              <w:rPr/>
            </w:pPr>
            <w:r>
              <w:rPr>
                <w:color w:val="231F20"/>
                <w:spacing w:val="-10"/>
              </w:rPr>
              <w:t>3674.40</w:t>
            </w:r>
          </w:p>
          <w:p>
            <w:pPr>
              <w:pStyle w:val="TableText"/>
              <w:ind w:left="102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2024/10/8</w:t>
            </w:r>
          </w:p>
          <w:p>
            <w:pPr>
              <w:pStyle w:val="TableText"/>
              <w:ind w:left="246"/>
              <w:spacing w:before="125" w:line="209" w:lineRule="auto"/>
              <w:rPr/>
            </w:pPr>
            <w:r>
              <w:rPr>
                <w:color w:val="231F20"/>
                <w:spacing w:val="-9"/>
              </w:rPr>
              <w:t>2635.09</w:t>
            </w:r>
          </w:p>
          <w:p>
            <w:pPr>
              <w:pStyle w:val="TableText"/>
              <w:ind w:left="192"/>
              <w:spacing w:before="95" w:line="188" w:lineRule="auto"/>
              <w:rPr/>
            </w:pPr>
            <w:r>
              <w:rPr>
                <w:color w:val="231F20"/>
                <w:spacing w:val="-9"/>
                <w:w w:val="96"/>
              </w:rPr>
              <w:t>2024/2/5</w:t>
            </w:r>
          </w:p>
          <w:p>
            <w:pPr>
              <w:pStyle w:val="TableText"/>
              <w:ind w:left="249"/>
              <w:spacing w:before="126" w:line="182" w:lineRule="auto"/>
              <w:rPr/>
            </w:pPr>
            <w:r>
              <w:rPr>
                <w:color w:val="231F20"/>
                <w:spacing w:val="-10"/>
              </w:rPr>
              <w:t>3351.76</w:t>
            </w:r>
          </w:p>
        </w:tc>
      </w:tr>
      <w:tr>
        <w:trPr>
          <w:trHeight w:val="2376" w:hRule="atLeast"/>
        </w:trPr>
        <w:tc>
          <w:tcPr>
            <w:shd w:val="clear" w:fill="D4E5F5"/>
            <w:tcW w:w="1628" w:type="dxa"/>
            <w:vAlign w:val="top"/>
            <w:tcBorders>
              <w:top w:val="single" w:color="231F20" w:sz="4" w:space="0"/>
              <w:bottom w:val="single" w:color="231F20" w:sz="8" w:space="0"/>
            </w:tcBorders>
          </w:tcPr>
          <w:p>
            <w:pPr>
              <w:pStyle w:val="TableText"/>
              <w:spacing w:line="303" w:lineRule="auto"/>
              <w:rPr>
                <w:sz w:val="21"/>
              </w:rPr>
            </w:pPr>
            <w:r/>
          </w:p>
          <w:p>
            <w:pPr>
              <w:pStyle w:val="TableText"/>
              <w:spacing w:line="304" w:lineRule="auto"/>
              <w:rPr>
                <w:sz w:val="21"/>
              </w:rPr>
            </w:pPr>
            <w:r/>
          </w:p>
          <w:p>
            <w:pPr>
              <w:pStyle w:val="TableText"/>
              <w:ind w:left="61"/>
              <w:spacing w:before="87" w:line="178" w:lineRule="auto"/>
              <w:rPr/>
            </w:pPr>
            <w:r>
              <w:rPr>
                <w:color w:val="231F20"/>
                <w:spacing w:val="-1"/>
              </w:rPr>
              <w:t>深证综合指数</w:t>
            </w:r>
          </w:p>
        </w:tc>
        <w:tc>
          <w:tcPr>
            <w:shd w:val="clear" w:fill="D4E5F5"/>
            <w:tcW w:w="1383" w:type="dxa"/>
            <w:vAlign w:val="top"/>
            <w:tcBorders>
              <w:top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517"/>
              <w:spacing w:before="119" w:line="171" w:lineRule="auto"/>
              <w:rPr/>
            </w:pPr>
            <w:r>
              <w:rPr>
                <w:color w:val="231F20"/>
                <w:spacing w:val="-2"/>
              </w:rPr>
              <w:t>开盘</w:t>
            </w:r>
          </w:p>
          <w:p>
            <w:pPr>
              <w:pStyle w:val="TableText"/>
              <w:ind w:left="514"/>
              <w:spacing w:before="147" w:line="178" w:lineRule="auto"/>
              <w:rPr/>
            </w:pPr>
            <w:r>
              <w:rPr>
                <w:color w:val="231F20"/>
                <w:spacing w:val="-2"/>
              </w:rPr>
              <w:t>最高</w:t>
            </w:r>
          </w:p>
          <w:p>
            <w:pPr>
              <w:pStyle w:val="TableText"/>
              <w:ind w:left="516"/>
              <w:spacing w:before="146" w:line="170" w:lineRule="auto"/>
              <w:rPr/>
            </w:pPr>
            <w:r>
              <w:rPr>
                <w:color w:val="231F20"/>
                <w:spacing w:val="-2"/>
              </w:rPr>
              <w:t>月日</w:t>
            </w:r>
          </w:p>
          <w:p>
            <w:pPr>
              <w:pStyle w:val="TableText"/>
              <w:ind w:left="514"/>
              <w:spacing w:before="146" w:line="176" w:lineRule="auto"/>
              <w:rPr/>
            </w:pPr>
            <w:r>
              <w:rPr>
                <w:color w:val="231F20"/>
                <w:spacing w:val="-2"/>
              </w:rPr>
              <w:t>最低</w:t>
            </w:r>
          </w:p>
          <w:p>
            <w:pPr>
              <w:pStyle w:val="TableText"/>
              <w:ind w:left="516"/>
              <w:spacing w:before="147" w:line="170" w:lineRule="auto"/>
              <w:rPr/>
            </w:pPr>
            <w:r>
              <w:rPr>
                <w:color w:val="231F20"/>
                <w:spacing w:val="-2"/>
              </w:rPr>
              <w:t>月日</w:t>
            </w:r>
          </w:p>
          <w:p>
            <w:pPr>
              <w:pStyle w:val="TableText"/>
              <w:ind w:left="520"/>
              <w:spacing w:before="148" w:line="174" w:lineRule="auto"/>
              <w:rPr/>
            </w:pPr>
            <w:r>
              <w:rPr>
                <w:color w:val="231F20"/>
                <w:spacing w:val="-3"/>
              </w:rPr>
              <w:t>收盘</w:t>
            </w:r>
          </w:p>
        </w:tc>
        <w:tc>
          <w:tcPr>
            <w:tcW w:w="1142" w:type="dxa"/>
            <w:vAlign w:val="top"/>
            <w:tcBorders>
              <w:top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586"/>
              <w:spacing w:before="113" w:line="209" w:lineRule="auto"/>
              <w:rPr/>
            </w:pPr>
            <w:r>
              <w:rPr>
                <w:color w:val="231F20"/>
                <w:spacing w:val="-11"/>
              </w:rPr>
              <w:t>1270.5</w:t>
            </w:r>
          </w:p>
          <w:p>
            <w:pPr>
              <w:pStyle w:val="TableText"/>
              <w:ind w:left="586"/>
              <w:spacing w:before="95" w:line="209" w:lineRule="auto"/>
              <w:rPr/>
            </w:pPr>
            <w:r>
              <w:rPr>
                <w:color w:val="231F20"/>
                <w:spacing w:val="-11"/>
              </w:rPr>
              <w:t>1799.1</w:t>
            </w:r>
          </w:p>
          <w:p>
            <w:pPr>
              <w:pStyle w:val="TableText"/>
              <w:ind w:left="428"/>
              <w:spacing w:before="95" w:line="188" w:lineRule="auto"/>
              <w:rPr/>
            </w:pPr>
            <w:r>
              <w:rPr>
                <w:color w:val="231F20"/>
                <w:spacing w:val="-13"/>
              </w:rPr>
              <w:t>2019/4/8</w:t>
            </w:r>
          </w:p>
          <w:p>
            <w:pPr>
              <w:pStyle w:val="TableText"/>
              <w:ind w:left="497"/>
              <w:spacing w:before="125" w:line="209" w:lineRule="auto"/>
              <w:rPr/>
            </w:pPr>
            <w:r>
              <w:rPr>
                <w:color w:val="231F20"/>
                <w:spacing w:val="-11"/>
              </w:rPr>
              <w:t>1231.83</w:t>
            </w:r>
          </w:p>
          <w:p>
            <w:pPr>
              <w:pStyle w:val="TableText"/>
              <w:ind w:left="428"/>
              <w:spacing w:before="95" w:line="188" w:lineRule="auto"/>
              <w:rPr/>
            </w:pPr>
            <w:r>
              <w:rPr>
                <w:color w:val="231F20"/>
                <w:spacing w:val="-13"/>
              </w:rPr>
              <w:t>2019/1/4</w:t>
            </w:r>
          </w:p>
          <w:p>
            <w:pPr>
              <w:pStyle w:val="TableText"/>
              <w:ind w:left="497"/>
              <w:spacing w:before="125" w:line="186" w:lineRule="auto"/>
              <w:rPr/>
            </w:pPr>
            <w:r>
              <w:rPr>
                <w:color w:val="231F20"/>
                <w:spacing w:val="-11"/>
              </w:rPr>
              <w:t>1722.95</w:t>
            </w:r>
          </w:p>
        </w:tc>
        <w:tc>
          <w:tcPr>
            <w:shd w:val="clear" w:fill="D4E5F5"/>
            <w:tcW w:w="984" w:type="dxa"/>
            <w:vAlign w:val="top"/>
            <w:tcBorders>
              <w:top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332"/>
              <w:spacing w:before="113" w:line="209" w:lineRule="auto"/>
              <w:rPr/>
            </w:pPr>
            <w:r>
              <w:rPr>
                <w:color w:val="231F20"/>
                <w:spacing w:val="-11"/>
              </w:rPr>
              <w:t>1734.63</w:t>
            </w:r>
          </w:p>
          <w:p>
            <w:pPr>
              <w:pStyle w:val="TableText"/>
              <w:ind w:left="317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2340.89</w:t>
            </w:r>
          </w:p>
          <w:p>
            <w:pPr>
              <w:pStyle w:val="TableText"/>
              <w:ind w:left="174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2020/11/9</w:t>
            </w:r>
          </w:p>
          <w:p>
            <w:pPr>
              <w:pStyle w:val="TableText"/>
              <w:ind w:left="332"/>
              <w:spacing w:before="125" w:line="209" w:lineRule="auto"/>
              <w:rPr/>
            </w:pPr>
            <w:r>
              <w:rPr>
                <w:color w:val="231F20"/>
                <w:spacing w:val="-11"/>
              </w:rPr>
              <w:t>1552.96</w:t>
            </w:r>
          </w:p>
          <w:p>
            <w:pPr>
              <w:pStyle w:val="TableText"/>
              <w:ind w:left="263"/>
              <w:spacing w:before="95" w:line="188" w:lineRule="auto"/>
              <w:rPr/>
            </w:pPr>
            <w:r>
              <w:rPr>
                <w:color w:val="231F20"/>
                <w:spacing w:val="-10"/>
                <w:w w:val="97"/>
              </w:rPr>
              <w:t>2020/2/4</w:t>
            </w:r>
          </w:p>
          <w:p>
            <w:pPr>
              <w:pStyle w:val="TableText"/>
              <w:ind w:left="317"/>
              <w:spacing w:before="125" w:line="186" w:lineRule="auto"/>
              <w:rPr/>
            </w:pPr>
            <w:r>
              <w:rPr>
                <w:color w:val="231F20"/>
                <w:spacing w:val="-9"/>
              </w:rPr>
              <w:t>2329.37</w:t>
            </w:r>
          </w:p>
        </w:tc>
        <w:tc>
          <w:tcPr>
            <w:tcW w:w="1002" w:type="dxa"/>
            <w:vAlign w:val="top"/>
            <w:tcBorders>
              <w:top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325"/>
              <w:spacing w:before="113" w:line="209" w:lineRule="auto"/>
              <w:rPr/>
            </w:pPr>
            <w:r>
              <w:rPr>
                <w:color w:val="231F20"/>
                <w:spacing w:val="-9"/>
              </w:rPr>
              <w:t>2335.16</w:t>
            </w:r>
          </w:p>
          <w:p>
            <w:pPr>
              <w:pStyle w:val="TableText"/>
              <w:ind w:left="325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2571.27</w:t>
            </w:r>
          </w:p>
          <w:p>
            <w:pPr>
              <w:pStyle w:val="TableText"/>
              <w:ind w:left="92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2021/12/13</w:t>
            </w:r>
          </w:p>
          <w:p>
            <w:pPr>
              <w:pStyle w:val="TableText"/>
              <w:ind w:left="325"/>
              <w:spacing w:before="125" w:line="209" w:lineRule="auto"/>
              <w:rPr/>
            </w:pPr>
            <w:r>
              <w:rPr>
                <w:color w:val="231F20"/>
                <w:spacing w:val="-9"/>
              </w:rPr>
              <w:t>2130.09</w:t>
            </w:r>
          </w:p>
          <w:p>
            <w:pPr>
              <w:pStyle w:val="TableText"/>
              <w:ind w:left="271"/>
              <w:spacing w:before="95" w:line="188" w:lineRule="auto"/>
              <w:rPr/>
            </w:pPr>
            <w:r>
              <w:rPr>
                <w:color w:val="231F20"/>
                <w:spacing w:val="-13"/>
              </w:rPr>
              <w:t>2021/3/9</w:t>
            </w:r>
          </w:p>
          <w:p>
            <w:pPr>
              <w:pStyle w:val="TableText"/>
              <w:ind w:left="325"/>
              <w:spacing w:before="125" w:line="186" w:lineRule="auto"/>
              <w:rPr/>
            </w:pPr>
            <w:r>
              <w:rPr>
                <w:color w:val="231F20"/>
                <w:spacing w:val="-9"/>
              </w:rPr>
              <w:t>2530.14</w:t>
            </w:r>
          </w:p>
        </w:tc>
        <w:tc>
          <w:tcPr>
            <w:shd w:val="clear" w:fill="D4E5F5"/>
            <w:tcW w:w="905" w:type="dxa"/>
            <w:vAlign w:val="top"/>
            <w:tcBorders>
              <w:top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245"/>
              <w:spacing w:before="113" w:line="209" w:lineRule="auto"/>
              <w:rPr/>
            </w:pPr>
            <w:r>
              <w:rPr>
                <w:color w:val="231F20"/>
                <w:spacing w:val="-9"/>
              </w:rPr>
              <w:t>2541.46</w:t>
            </w:r>
          </w:p>
          <w:p>
            <w:pPr>
              <w:pStyle w:val="TableText"/>
              <w:ind w:left="245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2542.99</w:t>
            </w:r>
          </w:p>
          <w:p>
            <w:pPr>
              <w:pStyle w:val="TableText"/>
              <w:ind w:left="191"/>
              <w:spacing w:before="95" w:line="188" w:lineRule="auto"/>
              <w:rPr/>
            </w:pPr>
            <w:r>
              <w:rPr>
                <w:color w:val="231F20"/>
                <w:spacing w:val="-13"/>
              </w:rPr>
              <w:t>2022/1/4</w:t>
            </w:r>
          </w:p>
          <w:p>
            <w:pPr>
              <w:pStyle w:val="TableText"/>
              <w:ind w:left="260"/>
              <w:spacing w:before="125" w:line="209" w:lineRule="auto"/>
              <w:rPr/>
            </w:pPr>
            <w:r>
              <w:rPr>
                <w:color w:val="231F20"/>
                <w:spacing w:val="-11"/>
              </w:rPr>
              <w:t>1724.92</w:t>
            </w:r>
          </w:p>
          <w:p>
            <w:pPr>
              <w:pStyle w:val="TableText"/>
              <w:ind w:left="102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2022/4/27</w:t>
            </w:r>
          </w:p>
          <w:p>
            <w:pPr>
              <w:pStyle w:val="TableText"/>
              <w:ind w:left="260"/>
              <w:spacing w:before="125" w:line="186" w:lineRule="auto"/>
              <w:rPr/>
            </w:pPr>
            <w:r>
              <w:rPr>
                <w:color w:val="231F20"/>
                <w:spacing w:val="-11"/>
              </w:rPr>
              <w:t>1975.61</w:t>
            </w:r>
          </w:p>
        </w:tc>
        <w:tc>
          <w:tcPr>
            <w:tcW w:w="994" w:type="dxa"/>
            <w:vAlign w:val="top"/>
            <w:tcBorders>
              <w:top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332"/>
              <w:spacing w:before="113" w:line="209" w:lineRule="auto"/>
              <w:rPr/>
            </w:pPr>
            <w:r>
              <w:rPr>
                <w:color w:val="231F20"/>
                <w:spacing w:val="-11"/>
              </w:rPr>
              <w:t>1974.66</w:t>
            </w:r>
          </w:p>
          <w:p>
            <w:pPr>
              <w:pStyle w:val="TableText"/>
              <w:ind w:left="317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2200.22</w:t>
            </w:r>
          </w:p>
          <w:p>
            <w:pPr>
              <w:pStyle w:val="TableText"/>
              <w:ind w:left="174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2023/2/16</w:t>
            </w:r>
          </w:p>
          <w:p>
            <w:pPr>
              <w:pStyle w:val="TableText"/>
              <w:ind w:left="332"/>
              <w:spacing w:before="125" w:line="209" w:lineRule="auto"/>
              <w:rPr/>
            </w:pPr>
            <w:r>
              <w:rPr>
                <w:color w:val="231F20"/>
                <w:spacing w:val="-11"/>
              </w:rPr>
              <w:t>1760.70</w:t>
            </w:r>
          </w:p>
          <w:p>
            <w:pPr>
              <w:pStyle w:val="TableText"/>
              <w:ind w:left="85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2023/12/27</w:t>
            </w:r>
          </w:p>
          <w:p>
            <w:pPr>
              <w:pStyle w:val="TableText"/>
              <w:ind w:left="332"/>
              <w:spacing w:before="125" w:line="186" w:lineRule="auto"/>
              <w:rPr/>
            </w:pPr>
            <w:r>
              <w:rPr>
                <w:color w:val="231F20"/>
                <w:spacing w:val="-11"/>
              </w:rPr>
              <w:t>1837.85</w:t>
            </w:r>
          </w:p>
        </w:tc>
        <w:tc>
          <w:tcPr>
            <w:shd w:val="clear" w:fill="D4E5F5"/>
            <w:tcW w:w="934" w:type="dxa"/>
            <w:vAlign w:val="top"/>
            <w:tcBorders>
              <w:top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260"/>
              <w:spacing w:before="113" w:line="209" w:lineRule="auto"/>
              <w:rPr/>
            </w:pPr>
            <w:r>
              <w:rPr>
                <w:color w:val="231F20"/>
                <w:spacing w:val="-11"/>
              </w:rPr>
              <w:t>1838.92</w:t>
            </w:r>
          </w:p>
          <w:p>
            <w:pPr>
              <w:pStyle w:val="TableText"/>
              <w:ind w:left="246"/>
              <w:spacing w:before="95" w:line="209" w:lineRule="auto"/>
              <w:rPr/>
            </w:pPr>
            <w:r>
              <w:rPr>
                <w:color w:val="231F20"/>
                <w:spacing w:val="-9"/>
              </w:rPr>
              <w:t>2176.46</w:t>
            </w:r>
          </w:p>
          <w:p>
            <w:pPr>
              <w:pStyle w:val="TableText"/>
              <w:ind w:left="102"/>
              <w:spacing w:before="95" w:line="188" w:lineRule="auto"/>
              <w:rPr/>
            </w:pPr>
            <w:r>
              <w:rPr>
                <w:color w:val="231F20"/>
                <w:spacing w:val="-12"/>
              </w:rPr>
              <w:t>2024/10/8</w:t>
            </w:r>
          </w:p>
          <w:p>
            <w:pPr>
              <w:pStyle w:val="TableText"/>
              <w:ind w:left="260"/>
              <w:spacing w:before="125" w:line="209" w:lineRule="auto"/>
              <w:rPr/>
            </w:pPr>
            <w:r>
              <w:rPr>
                <w:color w:val="231F20"/>
                <w:spacing w:val="-11"/>
              </w:rPr>
              <w:t>1391.31</w:t>
            </w:r>
          </w:p>
          <w:p>
            <w:pPr>
              <w:pStyle w:val="TableText"/>
              <w:ind w:left="192"/>
              <w:spacing w:before="95" w:line="188" w:lineRule="auto"/>
              <w:rPr/>
            </w:pPr>
            <w:r>
              <w:rPr>
                <w:color w:val="231F20"/>
                <w:spacing w:val="-9"/>
                <w:w w:val="96"/>
              </w:rPr>
              <w:t>2024/2/5</w:t>
            </w:r>
          </w:p>
          <w:p>
            <w:pPr>
              <w:pStyle w:val="TableText"/>
              <w:ind w:left="260"/>
              <w:spacing w:before="125" w:line="186" w:lineRule="auto"/>
              <w:rPr/>
            </w:pPr>
            <w:r>
              <w:rPr>
                <w:color w:val="231F20"/>
                <w:spacing w:val="-11"/>
              </w:rPr>
              <w:t>1957.42</w:t>
            </w:r>
          </w:p>
        </w:tc>
      </w:tr>
    </w:tbl>
    <w:p>
      <w:pPr>
        <w:pStyle w:val="BodyText"/>
        <w:ind w:left="453"/>
        <w:spacing w:before="165" w:line="198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1"/>
        </w:rPr>
        <w:t>数据来源：中国证监会、上海证券交易所、深圳证券交易所、北京证券交易所。</w:t>
      </w:r>
    </w:p>
    <w:p>
      <w:pPr>
        <w:spacing w:line="198" w:lineRule="auto"/>
        <w:sectPr>
          <w:headerReference w:type="default" r:id="rId400"/>
          <w:pgSz w:w="11906" w:h="16158"/>
          <w:pgMar w:top="1367" w:right="1614" w:bottom="400" w:left="1318" w:header="1044" w:footer="0" w:gutter="0"/>
        </w:sectPr>
        <w:rPr>
          <w:sz w:val="18"/>
          <w:szCs w:val="18"/>
        </w:rPr>
      </w:pPr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5"/>
        <w:rPr/>
      </w:pPr>
      <w:r/>
    </w:p>
    <w:p>
      <w:pPr>
        <w:sectPr>
          <w:headerReference w:type="default" r:id="rId5"/>
          <w:pgSz w:w="16158" w:h="11906"/>
          <w:pgMar w:top="400" w:right="1077" w:bottom="400" w:left="1590" w:header="0" w:footer="0" w:gutter="0"/>
          <w:cols w:equalWidth="0" w:num="1">
            <w:col w:w="13491" w:space="0"/>
          </w:cols>
        </w:sectPr>
        <w:rPr/>
      </w:pPr>
    </w:p>
    <w:p>
      <w:pPr>
        <w:pStyle w:val="BodyText"/>
        <w:ind w:left="429"/>
        <w:spacing w:before="49" w:line="158" w:lineRule="auto"/>
        <w:rPr/>
      </w:pPr>
      <w:r>
        <w:rPr>
          <w:color w:val="174B8B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</w:rPr>
        <w:t>19 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                                             </w:t>
      </w:r>
      <w:r>
        <w:rPr>
          <w:color w:val="174B8B"/>
          <w:spacing w:val="-1"/>
        </w:rPr>
        <w:t>中国债券发行情况汇总表</w:t>
      </w:r>
    </w:p>
    <w:p>
      <w:pPr>
        <w:pStyle w:val="BodyText"/>
        <w:ind w:left="11085"/>
        <w:spacing w:line="180" w:lineRule="auto"/>
        <w:rPr/>
      </w:pPr>
      <w:r>
        <w:rPr>
          <w:color w:val="231F20"/>
          <w:spacing w:val="-1"/>
        </w:rPr>
        <w:t>单位：亿元</w:t>
      </w:r>
    </w:p>
    <w:p>
      <w:pPr>
        <w:spacing w:line="24" w:lineRule="exact"/>
        <w:rPr/>
      </w:pPr>
      <w:r/>
    </w:p>
    <w:tbl>
      <w:tblPr>
        <w:tblStyle w:val="TableNormal"/>
        <w:tblW w:w="12558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364"/>
        <w:gridCol w:w="1243"/>
        <w:gridCol w:w="1244"/>
        <w:gridCol w:w="1244"/>
        <w:gridCol w:w="1244"/>
        <w:gridCol w:w="1244"/>
        <w:gridCol w:w="1244"/>
        <w:gridCol w:w="1244"/>
        <w:gridCol w:w="1244"/>
        <w:gridCol w:w="1243"/>
      </w:tblGrid>
      <w:tr>
        <w:trPr>
          <w:trHeight w:val="339" w:hRule="atLeast"/>
        </w:trPr>
        <w:tc>
          <w:tcPr>
            <w:tcW w:w="1364" w:type="dxa"/>
            <w:vAlign w:val="top"/>
            <w:vMerge w:val="restart"/>
            <w:tcBorders>
              <w:bottom w:val="nil"/>
              <w:right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507"/>
              <w:spacing w:before="220" w:line="176" w:lineRule="auto"/>
              <w:rPr/>
            </w:pPr>
            <w:r>
              <w:drawing>
                <wp:anchor distT="0" distB="0" distL="0" distR="0" simplePos="0" relativeHeight="252758016" behindDoc="1" locked="0" layoutInCell="1" allowOverlap="1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-6232</wp:posOffset>
                  </wp:positionV>
                  <wp:extent cx="7974800" cy="4341596"/>
                  <wp:effectExtent l="0" t="0" r="0" b="0"/>
                  <wp:wrapNone/>
                  <wp:docPr id="770" name="IM 7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0" name="IM 770"/>
                          <pic:cNvPicPr/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74800" cy="4341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年份</w:t>
            </w:r>
          </w:p>
        </w:tc>
        <w:tc>
          <w:tcPr>
            <w:tcW w:w="3731" w:type="dxa"/>
            <w:vAlign w:val="top"/>
            <w:gridSpan w:val="3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505"/>
              <w:spacing w:before="77" w:line="174" w:lineRule="auto"/>
              <w:rPr/>
            </w:pPr>
            <w:r>
              <w:rPr>
                <w:color w:val="231F20"/>
                <w:spacing w:val="-1"/>
              </w:rPr>
              <w:t>政府债券</w:t>
            </w:r>
          </w:p>
        </w:tc>
        <w:tc>
          <w:tcPr>
            <w:tcW w:w="3732" w:type="dxa"/>
            <w:vAlign w:val="top"/>
            <w:gridSpan w:val="3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505"/>
              <w:spacing w:before="77" w:line="174" w:lineRule="auto"/>
              <w:rPr/>
            </w:pPr>
            <w:r>
              <w:rPr>
                <w:color w:val="231F20"/>
                <w:spacing w:val="-1"/>
              </w:rPr>
              <w:t>金融债券</w:t>
            </w:r>
          </w:p>
        </w:tc>
        <w:tc>
          <w:tcPr>
            <w:tcW w:w="3731" w:type="dxa"/>
            <w:vAlign w:val="top"/>
            <w:gridSpan w:val="3"/>
            <w:tcBorders>
              <w:left w:val="single" w:color="231F20" w:sz="4" w:space="0"/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783"/>
              <w:spacing w:before="76" w:line="175" w:lineRule="auto"/>
              <w:rPr/>
            </w:pPr>
            <w:r>
              <w:rPr>
                <w:color w:val="231F20"/>
              </w:rPr>
              <w:t>公司信用类债券（企业债）</w:t>
            </w:r>
          </w:p>
        </w:tc>
      </w:tr>
      <w:tr>
        <w:trPr>
          <w:trHeight w:val="271" w:hRule="atLeast"/>
        </w:trPr>
        <w:tc>
          <w:tcPr>
            <w:tcW w:w="1364" w:type="dxa"/>
            <w:vAlign w:val="top"/>
            <w:vMerge w:val="continue"/>
            <w:tcBorders>
              <w:bottom w:val="single" w:color="231F20" w:sz="4" w:space="0"/>
              <w:right w:val="single" w:color="231F20" w:sz="4" w:space="0"/>
              <w:top w:val="nil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tcW w:w="1243" w:type="dxa"/>
            <w:vAlign w:val="top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51"/>
              <w:spacing w:before="47" w:line="213" w:lineRule="exact"/>
              <w:rPr/>
            </w:pPr>
            <w:r>
              <w:rPr>
                <w:color w:val="231F20"/>
                <w:spacing w:val="-2"/>
              </w:rPr>
              <w:t>发行额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50"/>
              <w:spacing w:before="43" w:line="217" w:lineRule="exact"/>
              <w:rPr/>
            </w:pPr>
            <w:r>
              <w:rPr>
                <w:color w:val="231F20"/>
                <w:spacing w:val="-1"/>
              </w:rPr>
              <w:t>兑付额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60"/>
              <w:spacing w:before="43" w:line="217" w:lineRule="exact"/>
              <w:rPr/>
            </w:pPr>
            <w:r>
              <w:rPr>
                <w:color w:val="231F20"/>
                <w:spacing w:val="-1"/>
              </w:rPr>
              <w:t>期末余额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52"/>
              <w:spacing w:before="47" w:line="213" w:lineRule="exact"/>
              <w:rPr/>
            </w:pPr>
            <w:r>
              <w:rPr>
                <w:color w:val="231F20"/>
                <w:spacing w:val="-2"/>
              </w:rPr>
              <w:t>发行额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49"/>
              <w:spacing w:before="43" w:line="217" w:lineRule="exact"/>
              <w:rPr/>
            </w:pPr>
            <w:r>
              <w:rPr>
                <w:color w:val="231F20"/>
                <w:spacing w:val="-1"/>
              </w:rPr>
              <w:t>兑付额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60"/>
              <w:spacing w:before="43" w:line="217" w:lineRule="exact"/>
              <w:rPr/>
            </w:pPr>
            <w:r>
              <w:rPr>
                <w:color w:val="231F20"/>
                <w:spacing w:val="-1"/>
              </w:rPr>
              <w:t>期末余额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51"/>
              <w:spacing w:before="47" w:line="213" w:lineRule="exact"/>
              <w:rPr/>
            </w:pPr>
            <w:r>
              <w:rPr>
                <w:color w:val="231F20"/>
                <w:spacing w:val="-2"/>
              </w:rPr>
              <w:t>发行额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bottom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349"/>
              <w:spacing w:before="43" w:line="217" w:lineRule="exact"/>
              <w:rPr/>
            </w:pPr>
            <w:r>
              <w:rPr>
                <w:color w:val="231F20"/>
                <w:spacing w:val="-1"/>
              </w:rPr>
              <w:t>兑付额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bottom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259"/>
              <w:spacing w:before="43" w:line="217" w:lineRule="exact"/>
              <w:rPr/>
            </w:pPr>
            <w:r>
              <w:rPr>
                <w:color w:val="231F20"/>
                <w:spacing w:val="-1"/>
              </w:rPr>
              <w:t>期末余额</w:t>
            </w:r>
          </w:p>
        </w:tc>
      </w:tr>
      <w:tr>
        <w:trPr>
          <w:trHeight w:val="274" w:hRule="atLeast"/>
        </w:trPr>
        <w:tc>
          <w:tcPr>
            <w:tcW w:w="1364" w:type="dxa"/>
            <w:vAlign w:val="top"/>
            <w:tcBorders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508"/>
              <w:spacing w:before="42" w:line="222" w:lineRule="exact"/>
              <w:rPr/>
            </w:pPr>
            <w:r>
              <w:rPr>
                <w:color w:val="231F20"/>
                <w:spacing w:val="-9"/>
              </w:rPr>
              <w:t>2003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603"/>
              <w:spacing w:before="42" w:line="222" w:lineRule="exact"/>
              <w:rPr/>
            </w:pPr>
            <w:r>
              <w:rPr>
                <w:color w:val="231F20"/>
                <w:spacing w:val="-10"/>
              </w:rPr>
              <w:t>6280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604"/>
              <w:spacing w:before="42" w:line="222" w:lineRule="exact"/>
              <w:rPr/>
            </w:pPr>
            <w:r>
              <w:rPr>
                <w:color w:val="231F20"/>
                <w:spacing w:val="-9"/>
              </w:rPr>
              <w:t>2756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514"/>
              <w:spacing w:before="42" w:line="222" w:lineRule="exact"/>
              <w:rPr/>
            </w:pPr>
            <w:r>
              <w:rPr>
                <w:color w:val="231F20"/>
                <w:spacing w:val="-10"/>
              </w:rPr>
              <w:t>22604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spacing w:line="264" w:lineRule="exact"/>
              <w:rPr>
                <w:sz w:val="13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spacing w:line="264" w:lineRule="exact"/>
              <w:rPr>
                <w:sz w:val="13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spacing w:line="264" w:lineRule="exact"/>
              <w:rPr>
                <w:sz w:val="13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ind w:left="638"/>
              <w:spacing w:before="42" w:line="222" w:lineRule="exact"/>
              <w:rPr/>
            </w:pPr>
            <w:r>
              <w:rPr>
                <w:color w:val="231F20"/>
                <w:spacing w:val="-9"/>
              </w:rPr>
              <w:t>358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top w:val="single" w:color="231F20" w:sz="4" w:space="0"/>
            </w:tcBorders>
          </w:tcPr>
          <w:p>
            <w:pPr>
              <w:pStyle w:val="TableText"/>
              <w:spacing w:line="264" w:lineRule="exact"/>
              <w:rPr>
                <w:sz w:val="13"/>
              </w:rPr>
            </w:pPr>
            <w:r/>
          </w:p>
        </w:tc>
        <w:tc>
          <w:tcPr>
            <w:tcW w:w="1243" w:type="dxa"/>
            <w:vAlign w:val="top"/>
            <w:tcBorders>
              <w:left w:val="single" w:color="231F20" w:sz="4" w:space="0"/>
              <w:top w:val="single" w:color="231F20" w:sz="4" w:space="0"/>
            </w:tcBorders>
          </w:tcPr>
          <w:p>
            <w:pPr>
              <w:pStyle w:val="TableText"/>
              <w:spacing w:line="264" w:lineRule="exact"/>
              <w:rPr>
                <w:sz w:val="13"/>
              </w:rPr>
            </w:pPr>
            <w:r/>
          </w:p>
        </w:tc>
      </w:tr>
      <w:tr>
        <w:trPr>
          <w:trHeight w:val="282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0" w:line="222" w:lineRule="exact"/>
              <w:rPr/>
            </w:pPr>
            <w:r>
              <w:rPr>
                <w:color w:val="231F20"/>
                <w:spacing w:val="-9"/>
              </w:rPr>
              <w:t>2004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3"/>
              <w:spacing w:before="50" w:line="222" w:lineRule="exact"/>
              <w:rPr/>
            </w:pPr>
            <w:r>
              <w:rPr>
                <w:color w:val="231F20"/>
                <w:spacing w:val="-10"/>
              </w:rPr>
              <w:t>6924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6"/>
              <w:spacing w:before="50" w:line="222" w:lineRule="exact"/>
              <w:rPr/>
            </w:pPr>
            <w:r>
              <w:rPr>
                <w:color w:val="231F20"/>
                <w:spacing w:val="-10"/>
              </w:rPr>
              <w:t>3750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4"/>
              <w:spacing w:before="50" w:line="222" w:lineRule="exact"/>
              <w:rPr/>
            </w:pPr>
            <w:r>
              <w:rPr>
                <w:color w:val="231F20"/>
                <w:spacing w:val="-10"/>
              </w:rPr>
              <w:t>25778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2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2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2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38"/>
              <w:spacing w:before="50" w:line="222" w:lineRule="exact"/>
              <w:rPr/>
            </w:pPr>
            <w:r>
              <w:rPr>
                <w:color w:val="231F20"/>
                <w:spacing w:val="-9"/>
              </w:rPr>
              <w:t>327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2" w:lineRule="exact"/>
              <w:rPr>
                <w:sz w:val="14"/>
              </w:rPr>
            </w:pPr>
            <w:r/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spacing w:line="272" w:lineRule="exact"/>
              <w:rPr>
                <w:sz w:val="14"/>
              </w:rPr>
            </w:pPr>
            <w:r/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0" w:line="220" w:lineRule="exact"/>
              <w:rPr/>
            </w:pPr>
            <w:r>
              <w:rPr>
                <w:color w:val="231F20"/>
                <w:spacing w:val="-9"/>
              </w:rPr>
              <w:t>2005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1"/>
              <w:spacing w:before="50" w:line="220" w:lineRule="exact"/>
              <w:rPr/>
            </w:pPr>
            <w:r>
              <w:rPr>
                <w:color w:val="231F20"/>
                <w:spacing w:val="-9"/>
              </w:rPr>
              <w:t>7042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1"/>
              <w:spacing w:before="50" w:line="220" w:lineRule="exact"/>
              <w:rPr/>
            </w:pPr>
            <w:r>
              <w:rPr>
                <w:color w:val="231F20"/>
                <w:spacing w:val="-9"/>
              </w:rPr>
              <w:t>4046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4"/>
              <w:spacing w:before="50" w:line="220" w:lineRule="exact"/>
              <w:rPr/>
            </w:pPr>
            <w:r>
              <w:rPr>
                <w:color w:val="231F20"/>
                <w:spacing w:val="-10"/>
              </w:rPr>
              <w:t>28774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46"/>
              <w:spacing w:before="50" w:line="220" w:lineRule="exact"/>
              <w:rPr/>
            </w:pPr>
            <w:r>
              <w:rPr>
                <w:color w:val="231F20"/>
                <w:spacing w:val="-9"/>
              </w:rPr>
              <w:t>2047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727"/>
              <w:spacing w:before="50" w:line="220" w:lineRule="exact"/>
              <w:rPr/>
            </w:pPr>
            <w:r>
              <w:rPr>
                <w:color w:val="231F20"/>
                <w:spacing w:val="-8"/>
              </w:rPr>
              <w:t>37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</w:tr>
      <w:tr>
        <w:trPr>
          <w:trHeight w:val="282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1" w:line="221" w:lineRule="exact"/>
              <w:rPr/>
            </w:pPr>
            <w:r>
              <w:rPr>
                <w:color w:val="231F20"/>
                <w:spacing w:val="-9"/>
              </w:rPr>
              <w:t>2006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5"/>
              <w:spacing w:before="51" w:line="221" w:lineRule="exact"/>
              <w:rPr/>
            </w:pPr>
            <w:r>
              <w:rPr>
                <w:color w:val="231F20"/>
                <w:spacing w:val="-10"/>
              </w:rPr>
              <w:t>8883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4"/>
              <w:spacing w:before="51" w:line="221" w:lineRule="exact"/>
              <w:rPr/>
            </w:pPr>
            <w:r>
              <w:rPr>
                <w:color w:val="231F20"/>
                <w:spacing w:val="-10"/>
              </w:rPr>
              <w:t>6209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7"/>
              <w:spacing w:before="51" w:line="221" w:lineRule="exact"/>
              <w:rPr/>
            </w:pPr>
            <w:r>
              <w:rPr>
                <w:color w:val="231F20"/>
                <w:spacing w:val="-10"/>
              </w:rPr>
              <w:t>31449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2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2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2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49"/>
              <w:spacing w:before="51" w:line="221" w:lineRule="exact"/>
              <w:rPr/>
            </w:pPr>
            <w:r>
              <w:rPr>
                <w:color w:val="231F20"/>
                <w:spacing w:val="-10"/>
              </w:rPr>
              <w:t>3938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61"/>
              <w:spacing w:before="51" w:line="221" w:lineRule="exact"/>
              <w:rPr/>
            </w:pPr>
            <w:r>
              <w:rPr>
                <w:color w:val="231F20"/>
                <w:spacing w:val="-12"/>
              </w:rPr>
              <w:t>1672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spacing w:line="272" w:lineRule="exact"/>
              <w:rPr>
                <w:sz w:val="14"/>
              </w:rPr>
            </w:pPr>
            <w:r/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1" w:line="219" w:lineRule="exact"/>
              <w:rPr/>
            </w:pPr>
            <w:r>
              <w:rPr>
                <w:color w:val="231F20"/>
                <w:spacing w:val="-9"/>
              </w:rPr>
              <w:t>2007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3"/>
              <w:spacing w:before="51" w:line="219" w:lineRule="exact"/>
              <w:rPr/>
            </w:pPr>
            <w:r>
              <w:rPr>
                <w:color w:val="231F20"/>
                <w:spacing w:val="-10"/>
              </w:rPr>
              <w:t>23139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4"/>
              <w:spacing w:before="51" w:line="219" w:lineRule="exact"/>
              <w:rPr/>
            </w:pPr>
            <w:r>
              <w:rPr>
                <w:color w:val="231F20"/>
                <w:spacing w:val="-10"/>
              </w:rPr>
              <w:t>5847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1"/>
              <w:spacing w:before="51" w:line="219" w:lineRule="exact"/>
              <w:rPr/>
            </w:pPr>
            <w:r>
              <w:rPr>
                <w:color w:val="231F20"/>
                <w:spacing w:val="-9"/>
              </w:rPr>
              <w:t>48741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47"/>
              <w:spacing w:before="51" w:line="219" w:lineRule="exact"/>
              <w:rPr/>
            </w:pPr>
            <w:r>
              <w:rPr>
                <w:color w:val="231F20"/>
                <w:spacing w:val="-10"/>
              </w:rPr>
              <w:t>5181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46"/>
              <w:spacing w:before="51" w:line="219" w:lineRule="exact"/>
              <w:rPr/>
            </w:pPr>
            <w:r>
              <w:rPr>
                <w:color w:val="231F20"/>
                <w:spacing w:val="-9"/>
              </w:rPr>
              <w:t>2881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545"/>
              <w:spacing w:before="51" w:line="219" w:lineRule="exact"/>
              <w:rPr/>
            </w:pPr>
            <w:r>
              <w:rPr>
                <w:color w:val="231F20"/>
                <w:spacing w:val="-9"/>
              </w:rPr>
              <w:t>7683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2" w:line="218" w:lineRule="exact"/>
              <w:rPr/>
            </w:pPr>
            <w:r>
              <w:rPr>
                <w:color w:val="231F20"/>
                <w:spacing w:val="-9"/>
              </w:rPr>
              <w:t>2008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5"/>
              <w:spacing w:before="52" w:line="218" w:lineRule="exact"/>
              <w:rPr/>
            </w:pPr>
            <w:r>
              <w:rPr>
                <w:color w:val="231F20"/>
                <w:spacing w:val="-10"/>
              </w:rPr>
              <w:t>8558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2"/>
              <w:spacing w:before="52" w:line="218" w:lineRule="exact"/>
              <w:rPr/>
            </w:pPr>
            <w:r>
              <w:rPr>
                <w:color w:val="231F20"/>
                <w:spacing w:val="-9"/>
              </w:rPr>
              <w:t>7531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1"/>
              <w:spacing w:before="52" w:line="218" w:lineRule="exact"/>
              <w:rPr/>
            </w:pPr>
            <w:r>
              <w:rPr>
                <w:color w:val="231F20"/>
                <w:spacing w:val="-9"/>
              </w:rPr>
              <w:t>49768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48"/>
              <w:spacing w:before="52" w:line="218" w:lineRule="exact"/>
              <w:rPr/>
            </w:pPr>
            <w:r>
              <w:rPr>
                <w:color w:val="231F20"/>
                <w:spacing w:val="-10"/>
              </w:rPr>
              <w:t>8723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49"/>
              <w:spacing w:before="52" w:line="218" w:lineRule="exact"/>
              <w:rPr/>
            </w:pPr>
            <w:r>
              <w:rPr>
                <w:color w:val="231F20"/>
                <w:spacing w:val="-10"/>
              </w:rPr>
              <w:t>3278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471"/>
              <w:spacing w:before="52" w:line="218" w:lineRule="exact"/>
              <w:rPr/>
            </w:pPr>
            <w:r>
              <w:rPr>
                <w:color w:val="231F20"/>
                <w:spacing w:val="-12"/>
              </w:rPr>
              <w:t>13251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3" w:line="217" w:lineRule="exact"/>
              <w:rPr/>
            </w:pPr>
            <w:r>
              <w:rPr>
                <w:color w:val="231F20"/>
                <w:spacing w:val="-9"/>
              </w:rPr>
              <w:t>2009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28"/>
              <w:spacing w:before="53" w:line="217" w:lineRule="exact"/>
              <w:rPr/>
            </w:pPr>
            <w:r>
              <w:rPr>
                <w:color w:val="231F20"/>
                <w:spacing w:val="-12"/>
              </w:rPr>
              <w:t>17927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4"/>
              <w:spacing w:before="53" w:line="217" w:lineRule="exact"/>
              <w:rPr/>
            </w:pPr>
            <w:r>
              <w:rPr>
                <w:color w:val="231F20"/>
                <w:spacing w:val="-9"/>
              </w:rPr>
              <w:t>9745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5"/>
              <w:spacing w:before="53" w:line="217" w:lineRule="exact"/>
              <w:rPr/>
            </w:pPr>
            <w:r>
              <w:rPr>
                <w:color w:val="231F20"/>
                <w:spacing w:val="-10"/>
              </w:rPr>
              <w:t>57950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72"/>
              <w:spacing w:before="53" w:line="217" w:lineRule="exact"/>
              <w:rPr/>
            </w:pPr>
            <w:r>
              <w:rPr>
                <w:color w:val="231F20"/>
                <w:spacing w:val="-12"/>
              </w:rPr>
              <w:t>16599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43"/>
              <w:spacing w:before="53" w:line="217" w:lineRule="exact"/>
              <w:rPr/>
            </w:pPr>
            <w:r>
              <w:rPr>
                <w:color w:val="231F20"/>
                <w:spacing w:val="-9"/>
              </w:rPr>
              <w:t>4309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456"/>
              <w:spacing w:before="53" w:line="217" w:lineRule="exact"/>
              <w:rPr/>
            </w:pPr>
            <w:r>
              <w:rPr>
                <w:color w:val="231F20"/>
                <w:spacing w:val="-10"/>
              </w:rPr>
              <w:t>25541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4" w:line="216" w:lineRule="exact"/>
              <w:rPr/>
            </w:pPr>
            <w:r>
              <w:rPr>
                <w:color w:val="231F20"/>
                <w:spacing w:val="-9"/>
              </w:rPr>
              <w:t>2010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28"/>
              <w:spacing w:before="54" w:line="216" w:lineRule="exact"/>
              <w:rPr/>
            </w:pPr>
            <w:r>
              <w:rPr>
                <w:color w:val="231F20"/>
                <w:spacing w:val="-12"/>
              </w:rPr>
              <w:t>19778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29"/>
              <w:spacing w:before="54" w:line="216" w:lineRule="exact"/>
              <w:rPr/>
            </w:pPr>
            <w:r>
              <w:rPr>
                <w:color w:val="231F20"/>
                <w:spacing w:val="-12"/>
              </w:rPr>
              <w:t>10043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5"/>
              <w:spacing w:before="54" w:line="216" w:lineRule="exact"/>
              <w:rPr/>
            </w:pPr>
            <w:r>
              <w:rPr>
                <w:color w:val="231F20"/>
                <w:spacing w:val="-10"/>
              </w:rPr>
              <w:t>67685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spacing w:line="270" w:lineRule="exact"/>
              <w:rPr>
                <w:sz w:val="14"/>
              </w:rPr>
            </w:pPr>
            <w:r/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72"/>
              <w:spacing w:before="54" w:line="216" w:lineRule="exact"/>
              <w:rPr/>
            </w:pPr>
            <w:r>
              <w:rPr>
                <w:color w:val="231F20"/>
                <w:spacing w:val="-12"/>
              </w:rPr>
              <w:t>16094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47"/>
              <w:spacing w:before="54" w:line="216" w:lineRule="exact"/>
              <w:rPr/>
            </w:pPr>
            <w:r>
              <w:rPr>
                <w:color w:val="231F20"/>
                <w:spacing w:val="-10"/>
              </w:rPr>
              <w:t>5099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459"/>
              <w:spacing w:before="54" w:line="216" w:lineRule="exact"/>
              <w:rPr/>
            </w:pPr>
            <w:r>
              <w:rPr>
                <w:color w:val="231F20"/>
                <w:spacing w:val="-10"/>
              </w:rPr>
              <w:t>36318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5" w:line="215" w:lineRule="exact"/>
              <w:rPr/>
            </w:pPr>
            <w:r>
              <w:rPr>
                <w:color w:val="231F20"/>
                <w:spacing w:val="-9"/>
              </w:rPr>
              <w:t>2011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28"/>
              <w:spacing w:before="55" w:line="215" w:lineRule="exact"/>
              <w:rPr/>
            </w:pPr>
            <w:r>
              <w:rPr>
                <w:color w:val="231F20"/>
                <w:spacing w:val="-12"/>
              </w:rPr>
              <w:t>17100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29"/>
              <w:spacing w:before="55" w:line="215" w:lineRule="exact"/>
              <w:rPr/>
            </w:pPr>
            <w:r>
              <w:rPr>
                <w:color w:val="231F20"/>
                <w:spacing w:val="-12"/>
              </w:rPr>
              <w:t>10959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3"/>
              <w:spacing w:before="55" w:line="215" w:lineRule="exact"/>
              <w:rPr/>
            </w:pPr>
            <w:r>
              <w:rPr>
                <w:color w:val="231F20"/>
                <w:spacing w:val="-10"/>
              </w:rPr>
              <w:t>75832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01"/>
              <w:spacing w:before="55" w:line="215" w:lineRule="exact"/>
              <w:rPr/>
            </w:pPr>
            <w:r>
              <w:rPr>
                <w:color w:val="231F20"/>
                <w:spacing w:val="-10"/>
              </w:rPr>
              <w:t>23491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88"/>
              <w:spacing w:before="55" w:line="215" w:lineRule="exact"/>
              <w:rPr/>
            </w:pPr>
            <w:r>
              <w:rPr>
                <w:color w:val="231F20"/>
                <w:spacing w:val="-9"/>
              </w:rPr>
              <w:t>7683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99"/>
              <w:spacing w:before="55" w:line="215" w:lineRule="exact"/>
              <w:rPr/>
            </w:pPr>
            <w:r>
              <w:rPr>
                <w:color w:val="231F20"/>
                <w:spacing w:val="-10"/>
              </w:rPr>
              <w:t>75748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7"/>
              <w:spacing w:before="55" w:line="215" w:lineRule="exact"/>
              <w:rPr/>
            </w:pPr>
            <w:r>
              <w:rPr>
                <w:color w:val="231F20"/>
                <w:spacing w:val="-10"/>
              </w:rPr>
              <w:t>23548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71"/>
              <w:spacing w:before="55" w:line="215" w:lineRule="exact"/>
              <w:rPr/>
            </w:pPr>
            <w:r>
              <w:rPr>
                <w:color w:val="231F20"/>
                <w:spacing w:val="-12"/>
              </w:rPr>
              <w:t>10326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454"/>
              <w:spacing w:before="55" w:line="215" w:lineRule="exact"/>
              <w:rPr/>
            </w:pPr>
            <w:r>
              <w:rPr>
                <w:color w:val="231F20"/>
                <w:spacing w:val="-9"/>
              </w:rPr>
              <w:t>49095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6" w:line="214" w:lineRule="exact"/>
              <w:rPr/>
            </w:pPr>
            <w:r>
              <w:rPr>
                <w:color w:val="231F20"/>
                <w:spacing w:val="-9"/>
              </w:rPr>
              <w:t>2012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28"/>
              <w:spacing w:before="56" w:line="214" w:lineRule="exact"/>
              <w:rPr/>
            </w:pPr>
            <w:r>
              <w:rPr>
                <w:color w:val="231F20"/>
                <w:spacing w:val="-12"/>
              </w:rPr>
              <w:t>16154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4"/>
              <w:spacing w:before="56" w:line="214" w:lineRule="exact"/>
              <w:rPr/>
            </w:pPr>
            <w:r>
              <w:rPr>
                <w:color w:val="231F20"/>
                <w:spacing w:val="-9"/>
              </w:rPr>
              <w:t>9464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6"/>
              <w:spacing w:before="56" w:line="214" w:lineRule="exact"/>
              <w:rPr/>
            </w:pPr>
            <w:r>
              <w:rPr>
                <w:color w:val="231F20"/>
                <w:spacing w:val="-10"/>
              </w:rPr>
              <w:t>82522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01"/>
              <w:spacing w:before="56" w:line="214" w:lineRule="exact"/>
              <w:rPr/>
            </w:pPr>
            <w:r>
              <w:rPr>
                <w:color w:val="231F20"/>
                <w:spacing w:val="-10"/>
              </w:rPr>
              <w:t>26202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92"/>
              <w:spacing w:before="56" w:line="214" w:lineRule="exact"/>
              <w:rPr/>
            </w:pPr>
            <w:r>
              <w:rPr>
                <w:color w:val="231F20"/>
                <w:spacing w:val="-10"/>
              </w:rPr>
              <w:t>8588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00"/>
              <w:spacing w:before="56" w:line="214" w:lineRule="exact"/>
              <w:rPr/>
            </w:pPr>
            <w:r>
              <w:rPr>
                <w:color w:val="231F20"/>
                <w:spacing w:val="-10"/>
              </w:rPr>
              <w:t>93362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60"/>
              <w:spacing w:before="56" w:line="214" w:lineRule="exact"/>
              <w:rPr/>
            </w:pPr>
            <w:r>
              <w:rPr>
                <w:color w:val="231F20"/>
                <w:spacing w:val="-10"/>
              </w:rPr>
              <w:t>37365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48"/>
              <w:spacing w:before="56" w:line="214" w:lineRule="exact"/>
              <w:rPr/>
            </w:pPr>
            <w:r>
              <w:rPr>
                <w:color w:val="231F20"/>
                <w:spacing w:val="-10"/>
              </w:rPr>
              <w:t>8750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455"/>
              <w:spacing w:before="56" w:line="214" w:lineRule="exact"/>
              <w:rPr/>
            </w:pPr>
            <w:r>
              <w:rPr>
                <w:color w:val="231F20"/>
                <w:spacing w:val="-10"/>
              </w:rPr>
              <w:t>77710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7" w:line="213" w:lineRule="exact"/>
              <w:rPr/>
            </w:pPr>
            <w:r>
              <w:rPr>
                <w:color w:val="231F20"/>
                <w:spacing w:val="-9"/>
              </w:rPr>
              <w:t>2013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3"/>
              <w:spacing w:before="57" w:line="213" w:lineRule="exact"/>
              <w:rPr/>
            </w:pPr>
            <w:r>
              <w:rPr>
                <w:color w:val="231F20"/>
                <w:spacing w:val="-10"/>
              </w:rPr>
              <w:t>20230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606"/>
              <w:spacing w:before="57" w:line="213" w:lineRule="exact"/>
              <w:rPr/>
            </w:pPr>
            <w:r>
              <w:rPr>
                <w:color w:val="231F20"/>
                <w:spacing w:val="-10"/>
              </w:rPr>
              <w:t>8996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4"/>
              <w:spacing w:before="57" w:line="213" w:lineRule="exact"/>
              <w:rPr/>
            </w:pPr>
            <w:r>
              <w:rPr>
                <w:color w:val="231F20"/>
                <w:spacing w:val="-10"/>
              </w:rPr>
              <w:t>95471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01"/>
              <w:spacing w:before="57" w:line="213" w:lineRule="exact"/>
              <w:rPr/>
            </w:pPr>
            <w:r>
              <w:rPr>
                <w:color w:val="231F20"/>
                <w:spacing w:val="-10"/>
              </w:rPr>
              <w:t>26310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15"/>
              <w:spacing w:before="57" w:line="213" w:lineRule="exact"/>
              <w:rPr/>
            </w:pPr>
            <w:r>
              <w:rPr>
                <w:color w:val="231F20"/>
                <w:spacing w:val="-12"/>
              </w:rPr>
              <w:t>13306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26"/>
              <w:spacing w:before="57" w:line="213" w:lineRule="exact"/>
              <w:rPr/>
            </w:pPr>
            <w:r>
              <w:rPr>
                <w:color w:val="231F20"/>
                <w:spacing w:val="-12"/>
              </w:rPr>
              <w:t>105772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60"/>
              <w:spacing w:before="57" w:line="213" w:lineRule="exact"/>
              <w:rPr/>
            </w:pPr>
            <w:r>
              <w:rPr>
                <w:color w:val="231F20"/>
                <w:spacing w:val="-10"/>
              </w:rPr>
              <w:t>36784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71"/>
              <w:spacing w:before="57" w:line="213" w:lineRule="exact"/>
              <w:rPr/>
            </w:pPr>
            <w:r>
              <w:rPr>
                <w:color w:val="231F20"/>
                <w:spacing w:val="-12"/>
              </w:rPr>
              <w:t>18673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456"/>
              <w:spacing w:before="57" w:line="213" w:lineRule="exact"/>
              <w:rPr/>
            </w:pPr>
            <w:r>
              <w:rPr>
                <w:color w:val="231F20"/>
                <w:spacing w:val="-10"/>
              </w:rPr>
              <w:t>93242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59" w:line="211" w:lineRule="exact"/>
              <w:rPr/>
            </w:pPr>
            <w:r>
              <w:rPr>
                <w:color w:val="231F20"/>
                <w:spacing w:val="-9"/>
              </w:rPr>
              <w:t>2014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3"/>
              <w:spacing w:before="59" w:line="211" w:lineRule="exact"/>
              <w:rPr/>
            </w:pPr>
            <w:r>
              <w:rPr>
                <w:color w:val="231F20"/>
                <w:spacing w:val="-10"/>
              </w:rPr>
              <w:t>21747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29"/>
              <w:spacing w:before="59" w:line="211" w:lineRule="exact"/>
              <w:rPr/>
            </w:pPr>
            <w:r>
              <w:rPr>
                <w:color w:val="231F20"/>
                <w:spacing w:val="-12"/>
              </w:rPr>
              <w:t>10365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40"/>
              <w:spacing w:before="59" w:line="211" w:lineRule="exact"/>
              <w:rPr/>
            </w:pPr>
            <w:r>
              <w:rPr>
                <w:color w:val="231F20"/>
                <w:spacing w:val="-12"/>
              </w:rPr>
              <w:t>107275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03"/>
              <w:spacing w:before="59" w:line="211" w:lineRule="exact"/>
              <w:rPr/>
            </w:pPr>
            <w:r>
              <w:rPr>
                <w:color w:val="231F20"/>
                <w:spacing w:val="-10"/>
              </w:rPr>
              <w:t>36552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15"/>
              <w:spacing w:before="59" w:line="211" w:lineRule="exact"/>
              <w:rPr/>
            </w:pPr>
            <w:r>
              <w:rPr>
                <w:color w:val="231F20"/>
                <w:spacing w:val="-12"/>
              </w:rPr>
              <w:t>19345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26"/>
              <w:spacing w:before="59" w:line="211" w:lineRule="exact"/>
              <w:rPr/>
            </w:pPr>
            <w:r>
              <w:rPr>
                <w:color w:val="231F20"/>
                <w:spacing w:val="-12"/>
              </w:rPr>
              <w:t>125489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8"/>
              <w:spacing w:before="59" w:line="211" w:lineRule="exact"/>
              <w:rPr/>
            </w:pPr>
            <w:r>
              <w:rPr>
                <w:color w:val="231F20"/>
                <w:spacing w:val="-10"/>
              </w:rPr>
              <w:t>51516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7"/>
              <w:spacing w:before="59" w:line="211" w:lineRule="exact"/>
              <w:rPr/>
            </w:pPr>
            <w:r>
              <w:rPr>
                <w:color w:val="231F20"/>
                <w:spacing w:val="-10"/>
              </w:rPr>
              <w:t>27388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82"/>
              <w:spacing w:before="59" w:line="211" w:lineRule="exact"/>
              <w:rPr/>
            </w:pPr>
            <w:r>
              <w:rPr>
                <w:color w:val="231F20"/>
                <w:spacing w:val="-12"/>
              </w:rPr>
              <w:t>116214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60" w:line="210" w:lineRule="exact"/>
              <w:rPr/>
            </w:pPr>
            <w:r>
              <w:rPr>
                <w:color w:val="231F20"/>
                <w:spacing w:val="-9"/>
              </w:rPr>
              <w:t>2015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4"/>
              <w:spacing w:before="60" w:line="210" w:lineRule="exact"/>
              <w:rPr/>
            </w:pPr>
            <w:r>
              <w:rPr>
                <w:color w:val="231F20"/>
                <w:spacing w:val="-10"/>
              </w:rPr>
              <w:t>59408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29"/>
              <w:spacing w:before="60" w:line="210" w:lineRule="exact"/>
              <w:rPr/>
            </w:pPr>
            <w:r>
              <w:rPr>
                <w:color w:val="231F20"/>
                <w:spacing w:val="-12"/>
              </w:rPr>
              <w:t>12803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40"/>
              <w:spacing w:before="60" w:line="210" w:lineRule="exact"/>
              <w:rPr/>
            </w:pPr>
            <w:r>
              <w:rPr>
                <w:color w:val="231F20"/>
                <w:spacing w:val="-12"/>
              </w:rPr>
              <w:t>154524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26"/>
              <w:spacing w:before="60" w:line="210" w:lineRule="exact"/>
              <w:rPr/>
            </w:pPr>
            <w:r>
              <w:rPr>
                <w:color w:val="231F20"/>
                <w:spacing w:val="-12"/>
              </w:rPr>
              <w:t>102095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01"/>
              <w:spacing w:before="60" w:line="210" w:lineRule="exact"/>
              <w:rPr/>
            </w:pPr>
            <w:r>
              <w:rPr>
                <w:color w:val="231F20"/>
                <w:spacing w:val="-10"/>
              </w:rPr>
              <w:t>53852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26"/>
              <w:spacing w:before="60" w:line="210" w:lineRule="exact"/>
              <w:rPr/>
            </w:pPr>
            <w:r>
              <w:rPr>
                <w:color w:val="231F20"/>
                <w:spacing w:val="-12"/>
              </w:rPr>
              <w:t>184596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8"/>
              <w:spacing w:before="60" w:line="210" w:lineRule="exact"/>
              <w:rPr/>
            </w:pPr>
            <w:r>
              <w:rPr>
                <w:color w:val="231F20"/>
                <w:spacing w:val="-10"/>
              </w:rPr>
              <w:t>67205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60"/>
              <w:spacing w:before="60" w:line="210" w:lineRule="exact"/>
              <w:rPr/>
            </w:pPr>
            <w:r>
              <w:rPr>
                <w:color w:val="231F20"/>
                <w:spacing w:val="-10"/>
              </w:rPr>
              <w:t>39757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82"/>
              <w:spacing w:before="60" w:line="210" w:lineRule="exact"/>
              <w:rPr/>
            </w:pPr>
            <w:r>
              <w:rPr>
                <w:color w:val="231F20"/>
                <w:spacing w:val="-12"/>
              </w:rPr>
              <w:t>144329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61" w:line="210" w:lineRule="exact"/>
              <w:rPr/>
            </w:pPr>
            <w:r>
              <w:rPr>
                <w:color w:val="231F20"/>
                <w:spacing w:val="-9"/>
              </w:rPr>
              <w:t>2016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3"/>
              <w:spacing w:before="61" w:line="210" w:lineRule="exact"/>
              <w:rPr/>
            </w:pPr>
            <w:r>
              <w:rPr>
                <w:color w:val="231F20"/>
                <w:spacing w:val="-10"/>
              </w:rPr>
              <w:t>91086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29"/>
              <w:spacing w:before="61" w:line="210" w:lineRule="exact"/>
              <w:rPr/>
            </w:pPr>
            <w:r>
              <w:rPr>
                <w:color w:val="231F20"/>
                <w:spacing w:val="-12"/>
              </w:rPr>
              <w:t>19709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25"/>
              <w:spacing w:before="61" w:line="210" w:lineRule="exact"/>
              <w:rPr/>
            </w:pPr>
            <w:r>
              <w:rPr>
                <w:color w:val="231F20"/>
                <w:spacing w:val="-10"/>
              </w:rPr>
              <w:t>225734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26"/>
              <w:spacing w:before="61" w:line="210" w:lineRule="exact"/>
              <w:rPr/>
            </w:pPr>
            <w:r>
              <w:rPr>
                <w:color w:val="231F20"/>
                <w:spacing w:val="-12"/>
              </w:rPr>
              <w:t>182152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26"/>
              <w:spacing w:before="61" w:line="210" w:lineRule="exact"/>
              <w:rPr/>
            </w:pPr>
            <w:r>
              <w:rPr>
                <w:color w:val="231F20"/>
                <w:spacing w:val="-12"/>
              </w:rPr>
              <w:t>125677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1" w:line="210" w:lineRule="exact"/>
              <w:rPr/>
            </w:pPr>
            <w:r>
              <w:rPr>
                <w:color w:val="231F20"/>
                <w:spacing w:val="-10"/>
              </w:rPr>
              <w:t>236499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9"/>
              <w:spacing w:before="61" w:line="210" w:lineRule="exact"/>
              <w:rPr/>
            </w:pPr>
            <w:r>
              <w:rPr>
                <w:color w:val="231F20"/>
                <w:spacing w:val="-10"/>
              </w:rPr>
              <w:t>82242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7"/>
              <w:spacing w:before="61" w:line="210" w:lineRule="exact"/>
              <w:rPr/>
            </w:pPr>
            <w:r>
              <w:rPr>
                <w:color w:val="231F20"/>
                <w:spacing w:val="-10"/>
              </w:rPr>
              <w:t>61139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82"/>
              <w:spacing w:before="61" w:line="210" w:lineRule="exact"/>
              <w:rPr/>
            </w:pPr>
            <w:r>
              <w:rPr>
                <w:color w:val="231F20"/>
                <w:spacing w:val="-12"/>
              </w:rPr>
              <w:t>175180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62" w:line="209" w:lineRule="exact"/>
              <w:rPr/>
            </w:pPr>
            <w:r>
              <w:rPr>
                <w:color w:val="231F20"/>
                <w:spacing w:val="-9"/>
              </w:rPr>
              <w:t>2017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6"/>
              <w:spacing w:before="62" w:line="209" w:lineRule="exact"/>
              <w:rPr/>
            </w:pPr>
            <w:r>
              <w:rPr>
                <w:color w:val="231F20"/>
                <w:spacing w:val="-10"/>
              </w:rPr>
              <w:t>83513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4"/>
              <w:spacing w:before="62" w:line="209" w:lineRule="exact"/>
              <w:rPr/>
            </w:pPr>
            <w:r>
              <w:rPr>
                <w:color w:val="231F20"/>
                <w:spacing w:val="-10"/>
              </w:rPr>
              <w:t>27567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25"/>
              <w:spacing w:before="62" w:line="209" w:lineRule="exact"/>
              <w:rPr/>
            </w:pPr>
            <w:r>
              <w:rPr>
                <w:color w:val="231F20"/>
                <w:spacing w:val="-10"/>
              </w:rPr>
              <w:t>281538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2" w:line="209" w:lineRule="exact"/>
              <w:rPr/>
            </w:pPr>
            <w:r>
              <w:rPr>
                <w:color w:val="231F20"/>
                <w:spacing w:val="-10"/>
              </w:rPr>
              <w:t>258056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2" w:line="209" w:lineRule="exact"/>
              <w:rPr/>
            </w:pPr>
            <w:r>
              <w:rPr>
                <w:color w:val="231F20"/>
                <w:spacing w:val="-10"/>
              </w:rPr>
              <w:t>216410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2" w:line="209" w:lineRule="exact"/>
              <w:rPr/>
            </w:pPr>
            <w:r>
              <w:rPr>
                <w:color w:val="231F20"/>
                <w:spacing w:val="-10"/>
              </w:rPr>
              <w:t>278301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8"/>
              <w:spacing w:before="62" w:line="209" w:lineRule="exact"/>
              <w:rPr/>
            </w:pPr>
            <w:r>
              <w:rPr>
                <w:color w:val="231F20"/>
                <w:spacing w:val="-10"/>
              </w:rPr>
              <w:t>56352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7"/>
              <w:spacing w:before="62" w:line="209" w:lineRule="exact"/>
              <w:rPr/>
            </w:pPr>
            <w:r>
              <w:rPr>
                <w:color w:val="231F20"/>
                <w:spacing w:val="-10"/>
              </w:rPr>
              <w:t>52378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82"/>
              <w:spacing w:before="62" w:line="209" w:lineRule="exact"/>
              <w:rPr/>
            </w:pPr>
            <w:r>
              <w:rPr>
                <w:color w:val="231F20"/>
                <w:spacing w:val="-12"/>
              </w:rPr>
              <w:t>183252</w:t>
            </w:r>
          </w:p>
        </w:tc>
      </w:tr>
      <w:tr>
        <w:trPr>
          <w:trHeight w:val="282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63" w:line="209" w:lineRule="exact"/>
              <w:rPr/>
            </w:pPr>
            <w:r>
              <w:rPr>
                <w:color w:val="231F20"/>
                <w:spacing w:val="-9"/>
              </w:rPr>
              <w:t>2018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2"/>
              <w:spacing w:before="63" w:line="209" w:lineRule="exact"/>
              <w:rPr/>
            </w:pPr>
            <w:r>
              <w:rPr>
                <w:color w:val="231F20"/>
                <w:spacing w:val="-10"/>
              </w:rPr>
              <w:t>78278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4"/>
              <w:spacing w:before="63" w:line="209" w:lineRule="exact"/>
              <w:rPr/>
            </w:pPr>
            <w:r>
              <w:rPr>
                <w:color w:val="231F20"/>
                <w:spacing w:val="-10"/>
              </w:rPr>
              <w:t>29875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28"/>
              <w:spacing w:before="63" w:line="209" w:lineRule="exact"/>
              <w:rPr/>
            </w:pPr>
            <w:r>
              <w:rPr>
                <w:color w:val="231F20"/>
                <w:spacing w:val="-10"/>
              </w:rPr>
              <w:t>330069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3" w:line="209" w:lineRule="exact"/>
              <w:rPr/>
            </w:pPr>
            <w:r>
              <w:rPr>
                <w:color w:val="231F20"/>
                <w:spacing w:val="-10"/>
              </w:rPr>
              <w:t>274056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3" w:line="209" w:lineRule="exact"/>
              <w:rPr/>
            </w:pPr>
            <w:r>
              <w:rPr>
                <w:color w:val="231F20"/>
                <w:spacing w:val="-10"/>
              </w:rPr>
              <w:t>229047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4"/>
              <w:spacing w:before="63" w:line="209" w:lineRule="exact"/>
              <w:rPr/>
            </w:pPr>
            <w:r>
              <w:rPr>
                <w:color w:val="231F20"/>
                <w:spacing w:val="-10"/>
              </w:rPr>
              <w:t>322585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6"/>
              <w:spacing w:before="63" w:line="209" w:lineRule="exact"/>
              <w:rPr/>
            </w:pPr>
            <w:r>
              <w:rPr>
                <w:color w:val="231F20"/>
                <w:spacing w:val="-10"/>
              </w:rPr>
              <w:t>77905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7"/>
              <w:spacing w:before="63" w:line="209" w:lineRule="exact"/>
              <w:rPr/>
            </w:pPr>
            <w:r>
              <w:rPr>
                <w:color w:val="231F20"/>
                <w:spacing w:val="-10"/>
              </w:rPr>
              <w:t>51561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67"/>
              <w:spacing w:before="63" w:line="209" w:lineRule="exact"/>
              <w:rPr/>
            </w:pPr>
            <w:r>
              <w:rPr>
                <w:color w:val="231F20"/>
                <w:spacing w:val="-10"/>
              </w:rPr>
              <w:t>205603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63" w:line="208" w:lineRule="exact"/>
              <w:rPr/>
            </w:pPr>
            <w:r>
              <w:rPr>
                <w:color w:val="231F20"/>
                <w:spacing w:val="-9"/>
              </w:rPr>
              <w:t>2019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6"/>
              <w:spacing w:before="63" w:line="208" w:lineRule="exact"/>
              <w:rPr/>
            </w:pPr>
            <w:r>
              <w:rPr>
                <w:color w:val="231F20"/>
                <w:spacing w:val="-10"/>
              </w:rPr>
              <w:t>85187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7"/>
              <w:spacing w:before="63" w:line="208" w:lineRule="exact"/>
              <w:rPr/>
            </w:pPr>
            <w:r>
              <w:rPr>
                <w:color w:val="231F20"/>
                <w:spacing w:val="-10"/>
              </w:rPr>
              <w:t>37175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28"/>
              <w:spacing w:before="63" w:line="208" w:lineRule="exact"/>
              <w:rPr/>
            </w:pPr>
            <w:r>
              <w:rPr>
                <w:color w:val="231F20"/>
                <w:spacing w:val="-10"/>
              </w:rPr>
              <w:t>377273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3" w:line="208" w:lineRule="exact"/>
              <w:rPr/>
            </w:pPr>
            <w:r>
              <w:rPr>
                <w:color w:val="231F20"/>
                <w:spacing w:val="-10"/>
              </w:rPr>
              <w:t>259360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3" w:line="208" w:lineRule="exact"/>
              <w:rPr/>
            </w:pPr>
            <w:r>
              <w:rPr>
                <w:color w:val="231F20"/>
                <w:spacing w:val="-10"/>
              </w:rPr>
              <w:t>217335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4"/>
              <w:spacing w:before="63" w:line="208" w:lineRule="exact"/>
              <w:rPr/>
            </w:pPr>
            <w:r>
              <w:rPr>
                <w:color w:val="231F20"/>
                <w:spacing w:val="-10"/>
              </w:rPr>
              <w:t>364622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82"/>
              <w:spacing w:before="63" w:line="208" w:lineRule="exact"/>
              <w:rPr/>
            </w:pPr>
            <w:r>
              <w:rPr>
                <w:color w:val="231F20"/>
                <w:spacing w:val="-12"/>
              </w:rPr>
              <w:t>107058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5"/>
              <w:spacing w:before="63" w:line="208" w:lineRule="exact"/>
              <w:rPr/>
            </w:pPr>
            <w:r>
              <w:rPr>
                <w:color w:val="231F20"/>
                <w:spacing w:val="-10"/>
              </w:rPr>
              <w:t>74064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67"/>
              <w:spacing w:before="63" w:line="208" w:lineRule="exact"/>
              <w:rPr/>
            </w:pPr>
            <w:r>
              <w:rPr>
                <w:color w:val="231F20"/>
                <w:spacing w:val="-10"/>
              </w:rPr>
              <w:t>246176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64" w:line="207" w:lineRule="exact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39"/>
              <w:spacing w:before="64" w:line="207" w:lineRule="exact"/>
              <w:rPr/>
            </w:pPr>
            <w:r>
              <w:rPr>
                <w:color w:val="231F20"/>
                <w:spacing w:val="-12"/>
              </w:rPr>
              <w:t>135293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5"/>
              <w:spacing w:before="64" w:line="207" w:lineRule="exact"/>
              <w:rPr/>
            </w:pPr>
            <w:r>
              <w:rPr>
                <w:color w:val="231F20"/>
                <w:spacing w:val="-10"/>
              </w:rPr>
              <w:t>51408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22"/>
              <w:spacing w:before="64" w:line="207" w:lineRule="exact"/>
              <w:rPr/>
            </w:pPr>
            <w:r>
              <w:rPr>
                <w:color w:val="231F20"/>
                <w:spacing w:val="-10"/>
              </w:rPr>
              <w:t>460911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4" w:line="207" w:lineRule="exact"/>
              <w:rPr/>
            </w:pPr>
            <w:r>
              <w:rPr>
                <w:color w:val="231F20"/>
                <w:spacing w:val="-10"/>
              </w:rPr>
              <w:t>291539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4" w:line="207" w:lineRule="exact"/>
              <w:rPr/>
            </w:pPr>
            <w:r>
              <w:rPr>
                <w:color w:val="231F20"/>
                <w:spacing w:val="-10"/>
              </w:rPr>
              <w:t>239860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08"/>
              <w:spacing w:before="64" w:line="207" w:lineRule="exact"/>
              <w:rPr/>
            </w:pPr>
            <w:r>
              <w:rPr>
                <w:color w:val="231F20"/>
                <w:spacing w:val="-10"/>
              </w:rPr>
              <w:t>415080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82"/>
              <w:spacing w:before="64" w:line="207" w:lineRule="exact"/>
              <w:rPr/>
            </w:pPr>
            <w:r>
              <w:rPr>
                <w:color w:val="231F20"/>
                <w:spacing w:val="-12"/>
              </w:rPr>
              <w:t>142012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57"/>
              <w:spacing w:before="64" w:line="207" w:lineRule="exact"/>
              <w:rPr/>
            </w:pPr>
            <w:r>
              <w:rPr>
                <w:color w:val="231F20"/>
                <w:spacing w:val="-10"/>
              </w:rPr>
              <w:t>95558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67"/>
              <w:spacing w:before="64" w:line="207" w:lineRule="exact"/>
              <w:rPr/>
            </w:pPr>
            <w:r>
              <w:rPr>
                <w:color w:val="231F20"/>
                <w:spacing w:val="-10"/>
              </w:rPr>
              <w:t>289472</w:t>
            </w:r>
          </w:p>
        </w:tc>
      </w:tr>
      <w:tr>
        <w:trPr>
          <w:trHeight w:val="282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65" w:line="207" w:lineRule="exact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39"/>
              <w:spacing w:before="65" w:line="207" w:lineRule="exact"/>
              <w:rPr/>
            </w:pPr>
            <w:r>
              <w:rPr>
                <w:color w:val="231F20"/>
                <w:spacing w:val="-12"/>
              </w:rPr>
              <w:t>142662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3"/>
              <w:spacing w:before="65" w:line="207" w:lineRule="exact"/>
              <w:rPr/>
            </w:pPr>
            <w:r>
              <w:rPr>
                <w:color w:val="231F20"/>
                <w:spacing w:val="-10"/>
              </w:rPr>
              <w:t>71258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25"/>
              <w:spacing w:before="65" w:line="207" w:lineRule="exact"/>
              <w:rPr/>
            </w:pPr>
            <w:r>
              <w:rPr>
                <w:color w:val="231F20"/>
                <w:spacing w:val="-10"/>
              </w:rPr>
              <w:t>532744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4"/>
              <w:spacing w:before="65" w:line="207" w:lineRule="exact"/>
              <w:rPr/>
            </w:pPr>
            <w:r>
              <w:rPr>
                <w:color w:val="231F20"/>
                <w:spacing w:val="-10"/>
              </w:rPr>
              <w:t>323516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5" w:line="207" w:lineRule="exact"/>
              <w:rPr/>
            </w:pPr>
            <w:r>
              <w:rPr>
                <w:color w:val="231F20"/>
                <w:spacing w:val="-10"/>
              </w:rPr>
              <w:t>257093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08"/>
              <w:spacing w:before="65" w:line="207" w:lineRule="exact"/>
              <w:rPr/>
            </w:pPr>
            <w:r>
              <w:rPr>
                <w:color w:val="231F20"/>
                <w:spacing w:val="-10"/>
              </w:rPr>
              <w:t>482241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82"/>
              <w:spacing w:before="65" w:line="207" w:lineRule="exact"/>
              <w:rPr/>
            </w:pPr>
            <w:r>
              <w:rPr>
                <w:color w:val="231F20"/>
                <w:spacing w:val="-12"/>
              </w:rPr>
              <w:t>146804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82"/>
              <w:spacing w:before="65" w:line="207" w:lineRule="exact"/>
              <w:rPr/>
            </w:pPr>
            <w:r>
              <w:rPr>
                <w:color w:val="231F20"/>
                <w:spacing w:val="-12"/>
              </w:rPr>
              <w:t>115152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70"/>
              <w:spacing w:before="65" w:line="207" w:lineRule="exact"/>
              <w:rPr/>
            </w:pPr>
            <w:r>
              <w:rPr>
                <w:color w:val="231F20"/>
                <w:spacing w:val="-10"/>
              </w:rPr>
              <w:t>314477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65" w:line="206" w:lineRule="exact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39"/>
              <w:spacing w:before="65" w:line="206" w:lineRule="exact"/>
              <w:rPr/>
            </w:pPr>
            <w:r>
              <w:rPr>
                <w:color w:val="231F20"/>
                <w:spacing w:val="-12"/>
              </w:rPr>
              <w:t>170719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514"/>
              <w:spacing w:before="65" w:line="206" w:lineRule="exact"/>
              <w:rPr/>
            </w:pPr>
            <w:r>
              <w:rPr>
                <w:color w:val="231F20"/>
                <w:spacing w:val="-10"/>
              </w:rPr>
              <w:t>98976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25"/>
              <w:spacing w:before="65" w:line="206" w:lineRule="exact"/>
              <w:rPr/>
            </w:pPr>
            <w:r>
              <w:rPr>
                <w:color w:val="231F20"/>
                <w:spacing w:val="-10"/>
              </w:rPr>
              <w:t>604602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4"/>
              <w:spacing w:before="65" w:line="206" w:lineRule="exact"/>
              <w:rPr/>
            </w:pPr>
            <w:r>
              <w:rPr>
                <w:color w:val="231F20"/>
                <w:spacing w:val="-10"/>
              </w:rPr>
              <w:t>306195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1"/>
              <w:spacing w:before="65" w:line="206" w:lineRule="exact"/>
              <w:rPr/>
            </w:pPr>
            <w:r>
              <w:rPr>
                <w:color w:val="231F20"/>
                <w:spacing w:val="-10"/>
              </w:rPr>
              <w:t>271922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2"/>
              <w:spacing w:before="65" w:line="206" w:lineRule="exact"/>
              <w:rPr/>
            </w:pPr>
            <w:r>
              <w:rPr>
                <w:color w:val="231F20"/>
                <w:spacing w:val="-10"/>
              </w:rPr>
              <w:t>515874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82"/>
              <w:spacing w:before="65" w:line="206" w:lineRule="exact"/>
              <w:rPr/>
            </w:pPr>
            <w:r>
              <w:rPr>
                <w:color w:val="231F20"/>
                <w:spacing w:val="-12"/>
              </w:rPr>
              <w:t>136720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82"/>
              <w:spacing w:before="65" w:line="206" w:lineRule="exact"/>
              <w:rPr/>
            </w:pPr>
            <w:r>
              <w:rPr>
                <w:color w:val="231F20"/>
                <w:spacing w:val="-12"/>
              </w:rPr>
              <w:t>120363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70"/>
              <w:spacing w:before="65" w:line="206" w:lineRule="exact"/>
              <w:rPr/>
            </w:pPr>
            <w:r>
              <w:rPr>
                <w:color w:val="231F20"/>
                <w:spacing w:val="-10"/>
              </w:rPr>
              <w:t>323177</w:t>
            </w:r>
          </w:p>
        </w:tc>
      </w:tr>
      <w:tr>
        <w:trPr>
          <w:trHeight w:val="281" w:hRule="atLeast"/>
        </w:trPr>
        <w:tc>
          <w:tcPr>
            <w:tcW w:w="1364" w:type="dxa"/>
            <w:vAlign w:val="top"/>
            <w:tcBorders>
              <w:right w:val="single" w:color="231F20" w:sz="4" w:space="0"/>
            </w:tcBorders>
          </w:tcPr>
          <w:p>
            <w:pPr>
              <w:pStyle w:val="TableText"/>
              <w:ind w:left="508"/>
              <w:spacing w:before="66" w:line="205" w:lineRule="exact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24"/>
              <w:spacing w:before="66" w:line="205" w:lineRule="exact"/>
              <w:rPr/>
            </w:pPr>
            <w:r>
              <w:rPr>
                <w:color w:val="231F20"/>
                <w:spacing w:val="-10"/>
              </w:rPr>
              <w:t>204210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40"/>
              <w:spacing w:before="66" w:line="205" w:lineRule="exact"/>
              <w:rPr/>
            </w:pPr>
            <w:r>
              <w:rPr>
                <w:color w:val="231F20"/>
                <w:spacing w:val="-12"/>
              </w:rPr>
              <w:t>106154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424"/>
              <w:spacing w:before="66" w:line="205" w:lineRule="exact"/>
              <w:rPr/>
            </w:pPr>
            <w:r>
              <w:rPr>
                <w:color w:val="231F20"/>
                <w:spacing w:val="-10"/>
              </w:rPr>
              <w:t>702779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4"/>
              <w:spacing w:before="66" w:line="205" w:lineRule="exact"/>
              <w:rPr/>
            </w:pPr>
            <w:r>
              <w:rPr>
                <w:color w:val="231F20"/>
                <w:spacing w:val="-10"/>
              </w:rPr>
              <w:t>364417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4"/>
              <w:spacing w:before="66" w:line="205" w:lineRule="exact"/>
              <w:rPr/>
            </w:pPr>
            <w:r>
              <w:rPr>
                <w:color w:val="231F20"/>
                <w:spacing w:val="-10"/>
              </w:rPr>
              <w:t>325374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12"/>
              <w:spacing w:before="66" w:line="205" w:lineRule="exact"/>
              <w:rPr/>
            </w:pPr>
            <w:r>
              <w:rPr>
                <w:color w:val="231F20"/>
                <w:spacing w:val="-10"/>
              </w:rPr>
              <w:t>550899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82"/>
              <w:spacing w:before="66" w:line="205" w:lineRule="exact"/>
              <w:rPr/>
            </w:pPr>
            <w:r>
              <w:rPr>
                <w:color w:val="231F20"/>
                <w:spacing w:val="-12"/>
              </w:rPr>
              <w:t>138206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</w:tcBorders>
          </w:tcPr>
          <w:p>
            <w:pPr>
              <w:pStyle w:val="TableText"/>
              <w:ind w:left="382"/>
              <w:spacing w:before="66" w:line="205" w:lineRule="exact"/>
              <w:rPr/>
            </w:pPr>
            <w:r>
              <w:rPr>
                <w:color w:val="231F20"/>
                <w:spacing w:val="-12"/>
              </w:rPr>
              <w:t>125112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</w:tcBorders>
          </w:tcPr>
          <w:p>
            <w:pPr>
              <w:pStyle w:val="TableText"/>
              <w:ind w:left="370"/>
              <w:spacing w:before="66" w:line="205" w:lineRule="exact"/>
              <w:rPr/>
            </w:pPr>
            <w:r>
              <w:rPr>
                <w:color w:val="231F20"/>
                <w:spacing w:val="-10"/>
              </w:rPr>
              <w:t>320908</w:t>
            </w:r>
          </w:p>
        </w:tc>
      </w:tr>
      <w:tr>
        <w:trPr>
          <w:trHeight w:val="289" w:hRule="atLeast"/>
        </w:trPr>
        <w:tc>
          <w:tcPr>
            <w:tcW w:w="1364" w:type="dxa"/>
            <w:vAlign w:val="top"/>
            <w:tcBorders>
              <w:righ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508"/>
              <w:spacing w:before="67" w:line="211" w:lineRule="exact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righ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424"/>
              <w:spacing w:before="67" w:line="211" w:lineRule="exact"/>
              <w:rPr/>
            </w:pPr>
            <w:r>
              <w:rPr>
                <w:color w:val="231F20"/>
                <w:spacing w:val="-10"/>
              </w:rPr>
              <w:t>222459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440"/>
              <w:spacing w:before="67" w:line="211" w:lineRule="exact"/>
              <w:rPr/>
            </w:pPr>
            <w:r>
              <w:rPr>
                <w:color w:val="231F20"/>
                <w:spacing w:val="-12"/>
              </w:rPr>
              <w:t>109392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427"/>
              <w:spacing w:before="67" w:line="211" w:lineRule="exact"/>
              <w:rPr/>
            </w:pPr>
            <w:r>
              <w:rPr>
                <w:color w:val="231F20"/>
                <w:spacing w:val="-10"/>
              </w:rPr>
              <w:t>815795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309"/>
              <w:spacing w:before="67" w:line="211" w:lineRule="exact"/>
              <w:rPr/>
            </w:pPr>
            <w:r>
              <w:rPr>
                <w:color w:val="231F20"/>
                <w:spacing w:val="-10"/>
              </w:rPr>
              <w:t>424201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314"/>
              <w:spacing w:before="67" w:line="211" w:lineRule="exact"/>
              <w:rPr/>
            </w:pPr>
            <w:r>
              <w:rPr>
                <w:color w:val="231F20"/>
                <w:spacing w:val="-10"/>
              </w:rPr>
              <w:t>345707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312"/>
              <w:spacing w:before="67" w:line="211" w:lineRule="exact"/>
              <w:rPr/>
            </w:pPr>
            <w:r>
              <w:rPr>
                <w:color w:val="231F20"/>
                <w:spacing w:val="-10"/>
              </w:rPr>
              <w:t>621999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382"/>
              <w:spacing w:before="67" w:line="211" w:lineRule="exact"/>
              <w:rPr/>
            </w:pPr>
            <w:r>
              <w:rPr>
                <w:color w:val="231F20"/>
                <w:spacing w:val="-12"/>
              </w:rPr>
              <w:t>147714</w:t>
            </w:r>
          </w:p>
        </w:tc>
        <w:tc>
          <w:tcPr>
            <w:tcW w:w="1244" w:type="dxa"/>
            <w:vAlign w:val="top"/>
            <w:tcBorders>
              <w:left w:val="single" w:color="231F20" w:sz="4" w:space="0"/>
              <w:righ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382"/>
              <w:spacing w:before="67" w:line="211" w:lineRule="exact"/>
              <w:rPr/>
            </w:pPr>
            <w:r>
              <w:rPr>
                <w:color w:val="231F20"/>
                <w:spacing w:val="-12"/>
              </w:rPr>
              <w:t>130723</w:t>
            </w:r>
          </w:p>
        </w:tc>
        <w:tc>
          <w:tcPr>
            <w:tcW w:w="1243" w:type="dxa"/>
            <w:vAlign w:val="top"/>
            <w:tcBorders>
              <w:left w:val="single" w:color="231F20" w:sz="4" w:space="0"/>
              <w:bottom w:val="single" w:color="231F20" w:sz="8" w:space="0"/>
            </w:tcBorders>
          </w:tcPr>
          <w:p>
            <w:pPr>
              <w:pStyle w:val="TableText"/>
              <w:ind w:left="370"/>
              <w:spacing w:before="67" w:line="211" w:lineRule="exact"/>
              <w:rPr/>
            </w:pPr>
            <w:r>
              <w:rPr>
                <w:color w:val="231F20"/>
                <w:spacing w:val="-10"/>
              </w:rPr>
              <w:t>329230</w:t>
            </w:r>
          </w:p>
        </w:tc>
      </w:tr>
    </w:tbl>
    <w:p>
      <w:pPr>
        <w:pStyle w:val="BodyText"/>
        <w:ind w:left="11" w:right="81" w:firstLine="341"/>
        <w:spacing w:before="166"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4"/>
        </w:rPr>
        <w:t>注：①</w:t>
      </w:r>
      <w:r>
        <w:rPr>
          <w:sz w:val="18"/>
          <w:szCs w:val="18"/>
          <w:color w:val="231F20"/>
          <w:spacing w:val="5"/>
        </w:rPr>
        <w:t xml:space="preserve">  </w:t>
      </w:r>
      <w:r>
        <w:rPr>
          <w:sz w:val="18"/>
          <w:szCs w:val="18"/>
          <w:color w:val="231F20"/>
          <w:spacing w:val="4"/>
        </w:rPr>
        <w:t>金融债券指由金融企业发行的债券，包括国开行金融债、政策性金融债、商业银行普通债、商业银行次级债、商业银行资本混合债、资产支持证</w:t>
      </w:r>
      <w:r>
        <w:rPr>
          <w:sz w:val="18"/>
          <w:szCs w:val="18"/>
          <w:color w:val="231F20"/>
        </w:rPr>
        <w:t xml:space="preserve"> </w:t>
      </w:r>
      <w:r>
        <w:rPr>
          <w:sz w:val="18"/>
          <w:szCs w:val="18"/>
          <w:color w:val="231F20"/>
          <w:spacing w:val="-1"/>
        </w:rPr>
        <w:t>券、证券公司债券、证券公司短期融资券、资产管理公司金融债、同业存单。</w:t>
      </w:r>
    </w:p>
    <w:p>
      <w:pPr>
        <w:pStyle w:val="BodyText"/>
        <w:ind w:left="21" w:right="85" w:firstLine="685"/>
        <w:spacing w:before="1"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2"/>
        </w:rPr>
        <w:t>②  因统计制度调整，自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2"/>
        </w:rPr>
        <w:t>2012</w:t>
      </w:r>
      <w:r>
        <w:rPr>
          <w:sz w:val="18"/>
          <w:szCs w:val="18"/>
          <w:color w:val="231F20"/>
          <w:spacing w:val="2"/>
        </w:rPr>
        <w:t>年起，表中“企业债”</w:t>
      </w:r>
      <w:r>
        <w:rPr>
          <w:sz w:val="18"/>
          <w:szCs w:val="18"/>
          <w:color w:val="231F20"/>
          <w:spacing w:val="1"/>
        </w:rPr>
        <w:t>替换为“公司信用类债券”，包括非金融企业债务融资工具、企业债券以及公司债、可转债、可分</w:t>
      </w:r>
      <w:r>
        <w:rPr>
          <w:sz w:val="18"/>
          <w:szCs w:val="18"/>
          <w:color w:val="231F20"/>
        </w:rPr>
        <w:t xml:space="preserve"> </w:t>
      </w:r>
      <w:r>
        <w:rPr>
          <w:sz w:val="18"/>
          <w:szCs w:val="18"/>
          <w:color w:val="231F20"/>
          <w:spacing w:val="-4"/>
        </w:rPr>
        <w:t>离债、中小企业私募债。</w:t>
      </w:r>
    </w:p>
    <w:p>
      <w:pPr>
        <w:pStyle w:val="BodyText"/>
        <w:ind w:left="354"/>
        <w:spacing w:before="1" w:line="160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数据来源：中国人民银行。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59040" behindDoc="0" locked="0" layoutInCell="1" allowOverlap="1">
                <wp:simplePos x="0" y="0"/>
                <wp:positionH relativeFrom="column">
                  <wp:posOffset>-108991</wp:posOffset>
                </wp:positionH>
                <wp:positionV relativeFrom="paragraph">
                  <wp:posOffset>378805</wp:posOffset>
                </wp:positionV>
                <wp:extent cx="948055" cy="277495"/>
                <wp:effectExtent l="0" t="0" r="0" b="0"/>
                <wp:wrapNone/>
                <wp:docPr id="772" name="TextBox 772"/>
                <wp:cNvGraphicFramePr/>
                <a:graphic>
                  <a:graphicData uri="http://schemas.microsoft.com/office/word/2010/wordprocessingShape">
                    <wps:wsp>
                      <wps:cNvPr id="772" name="TextBox 772"/>
                      <wps:cNvSpPr txBox="1"/>
                      <wps:spPr>
                        <a:xfrm rot="5400000">
                          <a:off x="-108991" y="378805"/>
                          <a:ext cx="948055" cy="2774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116" w:line="178" w:lineRule="auto"/>
                              <w:rPr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附录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统计资料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4" style="position:absolute;margin-left:-8.58197pt;margin-top:29.8272pt;mso-position-vertical-relative:text;mso-position-horizontal-relative:text;width:74.65pt;height:21.85pt;z-index:252759040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116" w:line="178" w:lineRule="auto"/>
                        <w:rPr/>
                      </w:pPr>
                      <w:r>
                        <w:rPr>
                          <w:color w:val="231F20"/>
                          <w:spacing w:val="-4"/>
                        </w:rPr>
                        <w:t>附录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   </w:t>
                      </w:r>
                      <w:r>
                        <w:rPr>
                          <w:color w:val="231F20"/>
                          <w:spacing w:val="-4"/>
                        </w:rPr>
                        <w:t>统计资料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2760064" behindDoc="0" locked="0" layoutInCell="1" allowOverlap="1">
                <wp:simplePos x="0" y="0"/>
                <wp:positionH relativeFrom="column">
                  <wp:posOffset>205199</wp:posOffset>
                </wp:positionH>
                <wp:positionV relativeFrom="paragraph">
                  <wp:posOffset>5373123</wp:posOffset>
                </wp:positionV>
                <wp:extent cx="288290" cy="216534"/>
                <wp:effectExtent l="0" t="0" r="0" b="0"/>
                <wp:wrapNone/>
                <wp:docPr id="774" name="TextBox 774"/>
                <wp:cNvGraphicFramePr/>
                <a:graphic>
                  <a:graphicData uri="http://schemas.microsoft.com/office/word/2010/wordprocessingShape">
                    <wps:wsp>
                      <wps:cNvPr id="774" name="TextBox 774"/>
                      <wps:cNvSpPr txBox="1"/>
                      <wps:spPr>
                        <a:xfrm rot="5400000">
                          <a:off x="205199" y="5373123"/>
                          <a:ext cx="288290" cy="216534"/>
                        </a:xfrm>
                        <a:prstGeom prst="rect">
                          <a:avLst/>
                        </a:prstGeom>
                        <a:solidFill>
                          <a:srgbClr val="174B8B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77"/>
                              <w:spacing w:before="91" w:line="196" w:lineRule="auto"/>
                              <w:rPr>
                                <w:rFonts w:ascii="DejaVu Sans" w:hAnsi="DejaVu Sans" w:eastAsia="DejaVu Sans" w:cs="DejaVu San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DejaVu Sans" w:hAnsi="DejaVu Sans" w:eastAsia="DejaVu Sans" w:cs="DejaVu Sans"/>
                                <w:sz w:val="21"/>
                                <w:szCs w:val="21"/>
                                <w:color w:val="FFFFFF"/>
                                <w:spacing w:val="-18"/>
                              </w:rPr>
                              <w:t>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16" style="position:absolute;margin-left:16.1575pt;margin-top:423.081pt;mso-position-vertical-relative:text;mso-position-horizontal-relative:text;width:22.7pt;height:17.05pt;z-index:252760064;rotation:90;" fillcolor="#174B8B" filled="true" stroked="false" type="#_x0000_t202">
                <v:fill on="tru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77"/>
                        <w:spacing w:before="91" w:line="196" w:lineRule="auto"/>
                        <w:rPr>
                          <w:rFonts w:ascii="DejaVu Sans" w:hAnsi="DejaVu Sans" w:eastAsia="DejaVu Sans" w:cs="DejaVu Sans"/>
                          <w:sz w:val="21"/>
                          <w:szCs w:val="21"/>
                        </w:rPr>
                      </w:pPr>
                      <w:r>
                        <w:rPr>
                          <w:rFonts w:ascii="DejaVu Sans" w:hAnsi="DejaVu Sans" w:eastAsia="DejaVu Sans" w:cs="DejaVu Sans"/>
                          <w:sz w:val="21"/>
                          <w:szCs w:val="21"/>
                          <w:color w:val="FFFFFF"/>
                          <w:spacing w:val="-18"/>
                        </w:rP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18" style="position:absolute;margin-left:19.2413pt;margin-top:3.80304pt;mso-position-vertical-relative:text;mso-position-horizontal-relative:text;width:0.5pt;height:439.4pt;z-index:252761088;" filled="false" strokecolor="#174B8B" strokeweight="0.50pt" coordsize="10,8788" coordorigin="0,0" path="m4,8787l4,0e">
            <v:stroke joinstyle="miter" miterlimit="4"/>
          </v:shape>
        </w:pict>
      </w:r>
    </w:p>
    <w:p>
      <w:pPr>
        <w:spacing w:line="14" w:lineRule="auto"/>
        <w:sectPr>
          <w:type w:val="continuous"/>
          <w:pgSz w:w="16158" w:h="11906"/>
          <w:pgMar w:top="400" w:right="1077" w:bottom="400" w:left="1590" w:header="0" w:footer="0" w:gutter="0"/>
          <w:cols w:equalWidth="0" w:num="2">
            <w:col w:w="12671" w:space="100"/>
            <w:col w:w="720" w:space="0"/>
          </w:cols>
        </w:sectPr>
        <w:rPr>
          <w:sz w:val="2"/>
          <w:szCs w:val="2"/>
        </w:rPr>
      </w:pPr>
    </w:p>
    <w:p>
      <w:pPr>
        <w:spacing w:before="69"/>
        <w:rPr/>
      </w:pPr>
      <w:r/>
    </w:p>
    <w:p>
      <w:pPr>
        <w:spacing w:before="69"/>
        <w:rPr/>
      </w:pPr>
      <w:r/>
    </w:p>
    <w:p>
      <w:pPr>
        <w:sectPr>
          <w:pgSz w:w="16158" w:h="11906"/>
          <w:pgMar w:top="400" w:right="1077" w:bottom="400" w:left="1700" w:header="0" w:footer="0" w:gutter="0"/>
          <w:cols w:equalWidth="0" w:num="1">
            <w:col w:w="13380" w:space="0"/>
          </w:cols>
        </w:sectPr>
        <w:rPr/>
      </w:pPr>
    </w:p>
    <w:p>
      <w:pPr>
        <w:pStyle w:val="BodyText"/>
        <w:ind w:left="433"/>
        <w:spacing w:before="49" w:line="163" w:lineRule="auto"/>
        <w:rPr/>
      </w:pPr>
      <w:r>
        <w:rPr>
          <w:color w:val="174B8B"/>
        </w:rPr>
        <w:t>附表 </w:t>
      </w:r>
      <w:r>
        <w:rPr>
          <w:rFonts w:ascii="Times New Roman" w:hAnsi="Times New Roman" w:eastAsia="Times New Roman" w:cs="Times New Roman"/>
          <w:b/>
          <w:bCs/>
          <w:color w:val="174B8B"/>
        </w:rPr>
        <w:t>20    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                                       </w:t>
      </w:r>
      <w:r>
        <w:rPr>
          <w:color w:val="174B8B"/>
          <w:spacing w:val="-1"/>
        </w:rPr>
        <w:t>中国保险业发展概况统计表</w:t>
      </w:r>
    </w:p>
    <w:p>
      <w:pPr>
        <w:pStyle w:val="BodyText"/>
        <w:ind w:left="10587"/>
        <w:spacing w:before="1" w:line="176" w:lineRule="auto"/>
        <w:rPr/>
      </w:pPr>
      <w:r>
        <w:rPr>
          <w:color w:val="231F20"/>
          <w:spacing w:val="-3"/>
        </w:rPr>
        <w:t>单位：亿元，%</w:t>
      </w:r>
    </w:p>
    <w:p>
      <w:pPr>
        <w:spacing w:line="58" w:lineRule="exact"/>
        <w:rPr/>
      </w:pPr>
      <w:r/>
    </w:p>
    <w:tbl>
      <w:tblPr>
        <w:tblStyle w:val="TableNormal"/>
        <w:tblW w:w="12444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51"/>
        <w:gridCol w:w="981"/>
        <w:gridCol w:w="616"/>
        <w:gridCol w:w="865"/>
        <w:gridCol w:w="652"/>
        <w:gridCol w:w="873"/>
        <w:gridCol w:w="615"/>
        <w:gridCol w:w="858"/>
        <w:gridCol w:w="616"/>
        <w:gridCol w:w="864"/>
        <w:gridCol w:w="652"/>
        <w:gridCol w:w="879"/>
        <w:gridCol w:w="653"/>
        <w:gridCol w:w="878"/>
        <w:gridCol w:w="591"/>
      </w:tblGrid>
      <w:tr>
        <w:trPr>
          <w:trHeight w:val="544" w:hRule="atLeast"/>
        </w:trPr>
        <w:tc>
          <w:tcPr>
            <w:tcW w:w="185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635"/>
              <w:spacing w:before="185" w:line="172" w:lineRule="auto"/>
              <w:rPr/>
            </w:pPr>
            <w:r>
              <w:drawing>
                <wp:anchor distT="0" distB="0" distL="0" distR="0" simplePos="0" relativeHeight="252768256" behindDoc="1" locked="0" layoutInCell="1" allowOverlap="1">
                  <wp:simplePos x="0" y="0"/>
                  <wp:positionH relativeFrom="column">
                    <wp:posOffset>-5</wp:posOffset>
                  </wp:positionH>
                  <wp:positionV relativeFrom="paragraph">
                    <wp:posOffset>-6215</wp:posOffset>
                  </wp:positionV>
                  <wp:extent cx="7902003" cy="4367098"/>
                  <wp:effectExtent l="0" t="0" r="0" b="0"/>
                  <wp:wrapNone/>
                  <wp:docPr id="776" name="IM 7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76" name="IM 776"/>
                          <pic:cNvPicPr/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02003" cy="436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</w:rPr>
              <w:t>项</w:t>
            </w:r>
            <w:r>
              <w:rPr>
                <w:color w:val="231F20"/>
                <w:spacing w:val="3"/>
              </w:rPr>
              <w:t xml:space="preserve">         </w:t>
            </w:r>
            <w:r>
              <w:rPr>
                <w:color w:val="231F20"/>
                <w:spacing w:val="-2"/>
              </w:rPr>
              <w:t>目</w:t>
            </w:r>
          </w:p>
        </w:tc>
        <w:tc>
          <w:tcPr>
            <w:tcW w:w="98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84"/>
              <w:spacing w:before="177" w:line="209" w:lineRule="auto"/>
              <w:rPr/>
            </w:pPr>
            <w:r>
              <w:rPr>
                <w:color w:val="231F20"/>
                <w:spacing w:val="-9"/>
              </w:rPr>
              <w:t>2018</w:t>
            </w:r>
          </w:p>
        </w:tc>
        <w:tc>
          <w:tcPr>
            <w:tcW w:w="616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29" w:right="31" w:hanging="165"/>
              <w:spacing w:before="63" w:line="163" w:lineRule="auto"/>
              <w:rPr/>
            </w:pPr>
            <w:r>
              <w:rPr>
                <w:color w:val="231F20"/>
                <w:spacing w:val="-7"/>
              </w:rPr>
              <w:t>同比增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>长</w:t>
            </w:r>
          </w:p>
        </w:tc>
        <w:tc>
          <w:tcPr>
            <w:tcW w:w="86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1"/>
              <w:spacing w:before="177" w:line="209" w:lineRule="auto"/>
              <w:rPr/>
            </w:pPr>
            <w:r>
              <w:rPr>
                <w:color w:val="231F20"/>
                <w:spacing w:val="-9"/>
              </w:rPr>
              <w:t>2019</w:t>
            </w:r>
          </w:p>
        </w:tc>
        <w:tc>
          <w:tcPr>
            <w:tcW w:w="65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51" w:right="46" w:hanging="165"/>
              <w:spacing w:before="63" w:line="163" w:lineRule="auto"/>
              <w:rPr/>
            </w:pPr>
            <w:r>
              <w:rPr>
                <w:color w:val="231F20"/>
                <w:spacing w:val="-7"/>
              </w:rPr>
              <w:t>同比增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>长</w:t>
            </w:r>
          </w:p>
        </w:tc>
        <w:tc>
          <w:tcPr>
            <w:tcW w:w="873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75"/>
              <w:spacing w:before="177" w:line="209" w:lineRule="auto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61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28" w:right="31" w:hanging="165"/>
              <w:spacing w:before="63" w:line="163" w:lineRule="auto"/>
              <w:rPr/>
            </w:pPr>
            <w:r>
              <w:rPr>
                <w:color w:val="231F20"/>
                <w:spacing w:val="-7"/>
              </w:rPr>
              <w:t>同比增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>长</w:t>
            </w:r>
          </w:p>
        </w:tc>
        <w:tc>
          <w:tcPr>
            <w:tcW w:w="85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1"/>
              <w:spacing w:before="177" w:line="209" w:lineRule="auto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tcW w:w="616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29" w:right="31" w:hanging="165"/>
              <w:spacing w:before="63" w:line="163" w:lineRule="auto"/>
              <w:rPr/>
            </w:pPr>
            <w:r>
              <w:rPr>
                <w:color w:val="231F20"/>
                <w:spacing w:val="-7"/>
              </w:rPr>
              <w:t>同比增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>长</w:t>
            </w:r>
          </w:p>
        </w:tc>
        <w:tc>
          <w:tcPr>
            <w:tcW w:w="86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1"/>
              <w:spacing w:before="177" w:line="209" w:lineRule="auto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65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51" w:right="45" w:hanging="165"/>
              <w:spacing w:before="63" w:line="163" w:lineRule="auto"/>
              <w:rPr/>
            </w:pPr>
            <w:r>
              <w:rPr>
                <w:color w:val="231F20"/>
                <w:spacing w:val="-7"/>
              </w:rPr>
              <w:t>同比增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>长</w:t>
            </w:r>
          </w:p>
        </w:tc>
        <w:tc>
          <w:tcPr>
            <w:tcW w:w="87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76"/>
              <w:spacing w:before="177" w:line="209" w:lineRule="auto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tcW w:w="653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51" w:right="46" w:hanging="165"/>
              <w:spacing w:before="63" w:line="163" w:lineRule="auto"/>
              <w:rPr/>
            </w:pPr>
            <w:r>
              <w:rPr>
                <w:color w:val="231F20"/>
                <w:spacing w:val="-7"/>
              </w:rPr>
              <w:t>同比增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</w:rPr>
              <w:t>长</w:t>
            </w:r>
          </w:p>
        </w:tc>
        <w:tc>
          <w:tcPr>
            <w:tcW w:w="87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74"/>
              <w:spacing w:before="177" w:line="209" w:lineRule="auto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  <w:tc>
          <w:tcPr>
            <w:tcW w:w="59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133"/>
              <w:spacing w:before="62" w:line="167" w:lineRule="auto"/>
              <w:rPr/>
            </w:pPr>
            <w:r>
              <w:rPr>
                <w:color w:val="231F20"/>
                <w:spacing w:val="-6"/>
              </w:rPr>
              <w:t>同比</w:t>
            </w:r>
          </w:p>
          <w:p>
            <w:pPr>
              <w:pStyle w:val="TableText"/>
              <w:ind w:left="116"/>
              <w:spacing w:line="159" w:lineRule="auto"/>
              <w:rPr/>
            </w:pPr>
            <w:r>
              <w:rPr>
                <w:color w:val="231F20"/>
                <w:spacing w:val="-1"/>
              </w:rPr>
              <w:t>增长</w:t>
            </w:r>
          </w:p>
        </w:tc>
      </w:tr>
      <w:tr>
        <w:trPr>
          <w:trHeight w:val="305" w:hRule="atLeast"/>
        </w:trPr>
        <w:tc>
          <w:tcPr>
            <w:tcW w:w="185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8"/>
              <w:spacing w:before="64" w:line="160" w:lineRule="auto"/>
              <w:rPr/>
            </w:pPr>
            <w:r>
              <w:rPr>
                <w:color w:val="231F20"/>
                <w:spacing w:val="-1"/>
              </w:rPr>
              <w:t>保费收入</w:t>
            </w:r>
          </w:p>
        </w:tc>
        <w:tc>
          <w:tcPr>
            <w:tcW w:w="98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42"/>
              <w:spacing w:before="59" w:line="163" w:lineRule="auto"/>
              <w:rPr/>
            </w:pPr>
            <w:r>
              <w:rPr>
                <w:color w:val="231F20"/>
                <w:spacing w:val="-10"/>
              </w:rPr>
              <w:t>38016.62</w:t>
            </w:r>
          </w:p>
        </w:tc>
        <w:tc>
          <w:tcPr>
            <w:tcW w:w="61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08"/>
              <w:spacing w:before="59" w:line="163" w:lineRule="auto"/>
              <w:rPr/>
            </w:pPr>
            <w:r>
              <w:rPr>
                <w:color w:val="231F20"/>
                <w:spacing w:val="-9"/>
              </w:rPr>
              <w:t>3.92</w:t>
            </w:r>
          </w:p>
        </w:tc>
        <w:tc>
          <w:tcPr>
            <w:tcW w:w="86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14"/>
              <w:spacing w:before="59" w:line="163" w:lineRule="auto"/>
              <w:rPr/>
            </w:pPr>
            <w:r>
              <w:rPr>
                <w:color w:val="231F20"/>
                <w:spacing w:val="-9"/>
              </w:rPr>
              <w:t>42644.75</w:t>
            </w:r>
          </w:p>
        </w:tc>
        <w:tc>
          <w:tcPr>
            <w:tcW w:w="65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80"/>
              <w:spacing w:before="59" w:line="163" w:lineRule="auto"/>
              <w:rPr/>
            </w:pPr>
            <w:r>
              <w:rPr>
                <w:color w:val="231F20"/>
                <w:spacing w:val="-11"/>
              </w:rPr>
              <w:t>12.17</w:t>
            </w:r>
          </w:p>
        </w:tc>
        <w:tc>
          <w:tcPr>
            <w:tcW w:w="873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27"/>
              <w:spacing w:before="59" w:line="163" w:lineRule="auto"/>
              <w:rPr/>
            </w:pPr>
            <w:r>
              <w:rPr>
                <w:color w:val="231F20"/>
                <w:spacing w:val="-9"/>
              </w:rPr>
              <w:t>45257.33</w:t>
            </w:r>
          </w:p>
        </w:tc>
        <w:tc>
          <w:tcPr>
            <w:tcW w:w="61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04"/>
              <w:spacing w:before="59" w:line="163" w:lineRule="auto"/>
              <w:rPr/>
            </w:pPr>
            <w:r>
              <w:rPr>
                <w:color w:val="231F20"/>
                <w:spacing w:val="-8"/>
              </w:rPr>
              <w:t>6.13</w:t>
            </w:r>
          </w:p>
        </w:tc>
        <w:tc>
          <w:tcPr>
            <w:tcW w:w="85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14"/>
              <w:spacing w:before="59" w:line="163" w:lineRule="auto"/>
              <w:rPr/>
            </w:pPr>
            <w:r>
              <w:rPr>
                <w:color w:val="231F20"/>
                <w:spacing w:val="-9"/>
              </w:rPr>
              <w:t>44900.17</w:t>
            </w:r>
          </w:p>
        </w:tc>
        <w:tc>
          <w:tcPr>
            <w:tcW w:w="616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09"/>
              <w:spacing w:before="59" w:line="163" w:lineRule="auto"/>
              <w:rPr/>
            </w:pPr>
            <w:r>
              <w:rPr>
                <w:color w:val="231F20"/>
                <w:spacing w:val="-2"/>
              </w:rPr>
              <w:t>-0.79</w:t>
            </w:r>
          </w:p>
        </w:tc>
        <w:tc>
          <w:tcPr>
            <w:tcW w:w="86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14"/>
              <w:spacing w:before="59" w:line="163" w:lineRule="auto"/>
              <w:rPr/>
            </w:pPr>
            <w:r>
              <w:rPr>
                <w:color w:val="231F20"/>
                <w:spacing w:val="-9"/>
              </w:rPr>
              <w:t>46957.18</w:t>
            </w:r>
          </w:p>
        </w:tc>
        <w:tc>
          <w:tcPr>
            <w:tcW w:w="65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3"/>
              <w:spacing w:before="59" w:line="163" w:lineRule="auto"/>
              <w:rPr/>
            </w:pPr>
            <w:r>
              <w:rPr>
                <w:color w:val="231F20"/>
                <w:spacing w:val="-8"/>
              </w:rPr>
              <w:t>4.58</w:t>
            </w:r>
          </w:p>
        </w:tc>
        <w:tc>
          <w:tcPr>
            <w:tcW w:w="87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32"/>
              <w:spacing w:before="59" w:line="163" w:lineRule="auto"/>
              <w:rPr/>
            </w:pPr>
            <w:r>
              <w:rPr>
                <w:color w:val="231F20"/>
                <w:spacing w:val="-10"/>
              </w:rPr>
              <w:t>51246.71</w:t>
            </w:r>
          </w:p>
        </w:tc>
        <w:tc>
          <w:tcPr>
            <w:tcW w:w="653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255"/>
              <w:spacing w:before="59" w:line="163" w:lineRule="auto"/>
              <w:rPr/>
            </w:pPr>
            <w:r>
              <w:rPr>
                <w:color w:val="231F20"/>
                <w:spacing w:val="-8"/>
              </w:rPr>
              <w:t>9.13</w:t>
            </w:r>
          </w:p>
        </w:tc>
        <w:tc>
          <w:tcPr>
            <w:tcW w:w="87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30"/>
              <w:spacing w:before="59" w:line="163" w:lineRule="auto"/>
              <w:rPr/>
            </w:pPr>
            <w:r>
              <w:rPr>
                <w:color w:val="231F20"/>
                <w:spacing w:val="-10"/>
              </w:rPr>
              <w:t>56963.10</w:t>
            </w:r>
          </w:p>
        </w:tc>
        <w:tc>
          <w:tcPr>
            <w:tcW w:w="59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71"/>
              <w:spacing w:before="59" w:line="163" w:lineRule="auto"/>
              <w:rPr/>
            </w:pPr>
            <w:r>
              <w:rPr>
                <w:color w:val="231F20"/>
                <w:spacing w:val="-8"/>
              </w:rPr>
              <w:t>5.68</w:t>
            </w:r>
          </w:p>
        </w:tc>
      </w:tr>
      <w:tr>
        <w:trPr>
          <w:trHeight w:val="315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76"/>
              <w:spacing w:before="69" w:line="163" w:lineRule="auto"/>
              <w:rPr/>
            </w:pPr>
            <w:r>
              <w:rPr>
                <w:color w:val="231F20"/>
                <w:spacing w:val="-10"/>
              </w:rPr>
              <w:t>1.产险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254"/>
              <w:spacing w:before="69" w:line="163" w:lineRule="auto"/>
              <w:rPr/>
            </w:pPr>
            <w:r>
              <w:rPr>
                <w:color w:val="231F20"/>
                <w:spacing w:val="-11"/>
              </w:rPr>
              <w:t>10770.08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205"/>
              <w:spacing w:before="69" w:line="163" w:lineRule="auto"/>
              <w:rPr/>
            </w:pPr>
            <w:r>
              <w:rPr>
                <w:color w:val="231F20"/>
                <w:spacing w:val="-8"/>
              </w:rPr>
              <w:t>9.51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131"/>
              <w:spacing w:before="69" w:line="163" w:lineRule="auto"/>
              <w:rPr/>
            </w:pPr>
            <w:r>
              <w:rPr>
                <w:color w:val="231F20"/>
                <w:spacing w:val="-11"/>
              </w:rPr>
              <w:t>11649.47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7"/>
              <w:spacing w:before="69" w:line="163" w:lineRule="auto"/>
              <w:rPr/>
            </w:pPr>
            <w:r>
              <w:rPr>
                <w:color w:val="231F20"/>
                <w:spacing w:val="-8"/>
              </w:rPr>
              <w:t>8.17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145"/>
              <w:spacing w:before="69" w:line="163" w:lineRule="auto"/>
              <w:rPr/>
            </w:pPr>
            <w:r>
              <w:rPr>
                <w:color w:val="231F20"/>
                <w:spacing w:val="-11"/>
              </w:rPr>
              <w:t>11928.58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204"/>
              <w:spacing w:before="69" w:line="163" w:lineRule="auto"/>
              <w:rPr/>
            </w:pPr>
            <w:r>
              <w:rPr>
                <w:color w:val="231F20"/>
                <w:spacing w:val="-8"/>
              </w:rPr>
              <w:t>2.40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131"/>
              <w:spacing w:before="69" w:line="163" w:lineRule="auto"/>
              <w:rPr/>
            </w:pPr>
            <w:r>
              <w:rPr>
                <w:color w:val="231F20"/>
                <w:spacing w:val="-11"/>
              </w:rPr>
              <w:t>11671.11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09"/>
              <w:spacing w:before="69" w:line="163" w:lineRule="auto"/>
              <w:rPr/>
            </w:pPr>
            <w:r>
              <w:rPr>
                <w:color w:val="231F20"/>
                <w:spacing w:val="-2"/>
              </w:rPr>
              <w:t>-2.16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131"/>
              <w:spacing w:before="69" w:line="163" w:lineRule="auto"/>
              <w:rPr/>
            </w:pPr>
            <w:r>
              <w:rPr>
                <w:color w:val="231F20"/>
                <w:spacing w:val="-11"/>
              </w:rPr>
              <w:t>12712.38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8"/>
              <w:spacing w:before="69" w:line="163" w:lineRule="auto"/>
              <w:rPr/>
            </w:pPr>
            <w:r>
              <w:rPr>
                <w:color w:val="231F20"/>
                <w:spacing w:val="-8"/>
              </w:rPr>
              <w:t>8.92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146"/>
              <w:spacing w:before="69" w:line="163" w:lineRule="auto"/>
              <w:rPr/>
            </w:pPr>
            <w:r>
              <w:rPr>
                <w:color w:val="231F20"/>
                <w:spacing w:val="-11"/>
              </w:rPr>
              <w:t>13606.98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254"/>
              <w:spacing w:before="69" w:line="163" w:lineRule="auto"/>
              <w:rPr/>
            </w:pPr>
            <w:r>
              <w:rPr>
                <w:color w:val="231F20"/>
                <w:spacing w:val="-8"/>
              </w:rPr>
              <w:t>7.04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144"/>
              <w:spacing w:before="69" w:line="163" w:lineRule="auto"/>
              <w:rPr/>
            </w:pPr>
            <w:r>
              <w:rPr>
                <w:color w:val="231F20"/>
                <w:spacing w:val="-11"/>
              </w:rPr>
              <w:t>14330.59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167"/>
              <w:spacing w:before="69" w:line="163" w:lineRule="auto"/>
              <w:rPr/>
            </w:pPr>
            <w:r>
              <w:rPr>
                <w:color w:val="231F20"/>
                <w:spacing w:val="-8"/>
              </w:rPr>
              <w:t>4.21</w:t>
            </w:r>
          </w:p>
        </w:tc>
      </w:tr>
      <w:tr>
        <w:trPr>
          <w:trHeight w:val="314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61"/>
              <w:spacing w:before="71" w:line="161" w:lineRule="auto"/>
              <w:rPr/>
            </w:pPr>
            <w:r>
              <w:rPr>
                <w:color w:val="231F20"/>
                <w:spacing w:val="-6"/>
              </w:rPr>
              <w:t>2.寿险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239"/>
              <w:spacing w:before="71" w:line="161" w:lineRule="auto"/>
              <w:rPr/>
            </w:pPr>
            <w:r>
              <w:rPr>
                <w:color w:val="231F20"/>
                <w:spacing w:val="-10"/>
              </w:rPr>
              <w:t>20722.86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09"/>
              <w:spacing w:before="71" w:line="161" w:lineRule="auto"/>
              <w:rPr/>
            </w:pPr>
            <w:r>
              <w:rPr>
                <w:color w:val="231F20"/>
                <w:spacing w:val="-2"/>
              </w:rPr>
              <w:t>-3.41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116"/>
              <w:spacing w:before="71" w:line="161" w:lineRule="auto"/>
              <w:rPr/>
            </w:pPr>
            <w:r>
              <w:rPr>
                <w:color w:val="231F20"/>
                <w:spacing w:val="-10"/>
              </w:rPr>
              <w:t>22754.14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5"/>
              <w:spacing w:before="71" w:line="161" w:lineRule="auto"/>
              <w:rPr/>
            </w:pPr>
            <w:r>
              <w:rPr>
                <w:color w:val="231F20"/>
                <w:spacing w:val="-8"/>
              </w:rPr>
              <w:t>9.80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130"/>
              <w:spacing w:before="71" w:line="161" w:lineRule="auto"/>
              <w:rPr/>
            </w:pPr>
            <w:r>
              <w:rPr>
                <w:color w:val="231F20"/>
                <w:spacing w:val="-10"/>
              </w:rPr>
              <w:t>23981.92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204"/>
              <w:spacing w:before="71" w:line="161" w:lineRule="auto"/>
              <w:rPr/>
            </w:pPr>
            <w:r>
              <w:rPr>
                <w:color w:val="231F20"/>
                <w:spacing w:val="-8"/>
              </w:rPr>
              <w:t>5.40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116"/>
              <w:spacing w:before="71" w:line="161" w:lineRule="auto"/>
              <w:rPr/>
            </w:pPr>
            <w:r>
              <w:rPr>
                <w:color w:val="231F20"/>
                <w:spacing w:val="-10"/>
              </w:rPr>
              <w:t>23571.85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09"/>
              <w:spacing w:before="71" w:line="161" w:lineRule="auto"/>
              <w:rPr/>
            </w:pPr>
            <w:r>
              <w:rPr>
                <w:color w:val="231F20"/>
                <w:spacing w:val="-2"/>
              </w:rPr>
              <w:t>-1.71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116"/>
              <w:spacing w:before="71" w:line="161" w:lineRule="auto"/>
              <w:rPr/>
            </w:pPr>
            <w:r>
              <w:rPr>
                <w:color w:val="231F20"/>
                <w:spacing w:val="-10"/>
              </w:rPr>
              <w:t>24518.63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3"/>
              <w:spacing w:before="71" w:line="161" w:lineRule="auto"/>
              <w:rPr/>
            </w:pPr>
            <w:r>
              <w:rPr>
                <w:color w:val="231F20"/>
                <w:spacing w:val="-8"/>
              </w:rPr>
              <w:t>4.02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131"/>
              <w:spacing w:before="71" w:line="161" w:lineRule="auto"/>
              <w:rPr/>
            </w:pPr>
            <w:r>
              <w:rPr>
                <w:color w:val="231F20"/>
                <w:spacing w:val="-10"/>
              </w:rPr>
              <w:t>27646.42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181"/>
              <w:spacing w:before="71" w:line="161" w:lineRule="auto"/>
              <w:rPr/>
            </w:pPr>
            <w:r>
              <w:rPr>
                <w:color w:val="231F20"/>
                <w:spacing w:val="-11"/>
              </w:rPr>
              <w:t>12.76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133"/>
              <w:spacing w:before="71" w:line="161" w:lineRule="auto"/>
              <w:rPr/>
            </w:pPr>
            <w:r>
              <w:rPr>
                <w:color w:val="231F20"/>
                <w:spacing w:val="-10"/>
              </w:rPr>
              <w:t>31917.21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171"/>
              <w:spacing w:before="71" w:line="161" w:lineRule="auto"/>
              <w:rPr/>
            </w:pPr>
            <w:r>
              <w:rPr>
                <w:color w:val="231F20"/>
                <w:spacing w:val="-8"/>
              </w:rPr>
              <w:t>6.85</w:t>
            </w:r>
          </w:p>
        </w:tc>
      </w:tr>
      <w:tr>
        <w:trPr>
          <w:trHeight w:val="317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64"/>
              <w:spacing w:before="73" w:line="162" w:lineRule="auto"/>
              <w:rPr/>
            </w:pPr>
            <w:r>
              <w:rPr>
                <w:color w:val="231F20"/>
                <w:spacing w:val="-5"/>
              </w:rPr>
              <w:t>3.健康险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329"/>
              <w:spacing w:before="73" w:line="162" w:lineRule="auto"/>
              <w:rPr/>
            </w:pPr>
            <w:r>
              <w:rPr>
                <w:color w:val="231F20"/>
                <w:spacing w:val="-10"/>
              </w:rPr>
              <w:t>5448.13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16"/>
              <w:spacing w:before="73" w:line="162" w:lineRule="auto"/>
              <w:rPr/>
            </w:pPr>
            <w:r>
              <w:rPr>
                <w:color w:val="231F20"/>
                <w:spacing w:val="-9"/>
              </w:rPr>
              <w:t>24.12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205"/>
              <w:spacing w:before="73" w:line="162" w:lineRule="auto"/>
              <w:rPr/>
            </w:pPr>
            <w:r>
              <w:rPr>
                <w:color w:val="231F20"/>
                <w:spacing w:val="-9"/>
              </w:rPr>
              <w:t>7065.98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65"/>
              <w:spacing w:before="73" w:line="162" w:lineRule="auto"/>
              <w:rPr/>
            </w:pPr>
            <w:r>
              <w:rPr>
                <w:color w:val="231F20"/>
                <w:spacing w:val="-9"/>
              </w:rPr>
              <w:t>29.70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222"/>
              <w:spacing w:before="73" w:line="162" w:lineRule="auto"/>
              <w:rPr/>
            </w:pPr>
            <w:r>
              <w:rPr>
                <w:color w:val="231F20"/>
                <w:spacing w:val="-10"/>
              </w:rPr>
              <w:t>8172.71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129"/>
              <w:spacing w:before="73" w:line="162" w:lineRule="auto"/>
              <w:rPr/>
            </w:pPr>
            <w:r>
              <w:rPr>
                <w:color w:val="231F20"/>
                <w:spacing w:val="-11"/>
              </w:rPr>
              <w:t>15.66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208"/>
              <w:spacing w:before="73" w:line="162" w:lineRule="auto"/>
              <w:rPr/>
            </w:pPr>
            <w:r>
              <w:rPr>
                <w:color w:val="231F20"/>
                <w:spacing w:val="-10"/>
              </w:rPr>
              <w:t>8447.02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208"/>
              <w:spacing w:before="73" w:line="162" w:lineRule="auto"/>
              <w:rPr/>
            </w:pPr>
            <w:r>
              <w:rPr>
                <w:color w:val="231F20"/>
                <w:spacing w:val="-9"/>
              </w:rPr>
              <w:t>3.36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208"/>
              <w:spacing w:before="73" w:line="162" w:lineRule="auto"/>
              <w:rPr/>
            </w:pPr>
            <w:r>
              <w:rPr>
                <w:color w:val="231F20"/>
                <w:spacing w:val="-10"/>
              </w:rPr>
              <w:t>8652.94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6"/>
              <w:spacing w:before="73" w:line="162" w:lineRule="auto"/>
              <w:rPr/>
            </w:pPr>
            <w:r>
              <w:rPr>
                <w:color w:val="231F20"/>
                <w:spacing w:val="-8"/>
              </w:rPr>
              <w:t>2.44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220"/>
              <w:spacing w:before="73" w:line="162" w:lineRule="auto"/>
              <w:rPr/>
            </w:pPr>
            <w:r>
              <w:rPr>
                <w:color w:val="231F20"/>
                <w:spacing w:val="-9"/>
              </w:rPr>
              <w:t>9034.54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253"/>
              <w:spacing w:before="73" w:line="162" w:lineRule="auto"/>
              <w:rPr/>
            </w:pPr>
            <w:r>
              <w:rPr>
                <w:color w:val="231F20"/>
                <w:spacing w:val="-8"/>
              </w:rPr>
              <w:t>4.41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219"/>
              <w:spacing w:before="73" w:line="162" w:lineRule="auto"/>
              <w:rPr/>
            </w:pPr>
            <w:r>
              <w:rPr>
                <w:color w:val="231F20"/>
                <w:spacing w:val="-9"/>
              </w:rPr>
              <w:t>9773.18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167"/>
              <w:spacing w:before="73" w:line="162" w:lineRule="auto"/>
              <w:rPr/>
            </w:pPr>
            <w:r>
              <w:rPr>
                <w:color w:val="231F20"/>
                <w:spacing w:val="-8"/>
              </w:rPr>
              <w:t>4.87</w:t>
            </w:r>
          </w:p>
        </w:tc>
      </w:tr>
      <w:tr>
        <w:trPr>
          <w:trHeight w:val="471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58"/>
              <w:spacing w:before="73" w:line="201" w:lineRule="auto"/>
              <w:rPr/>
            </w:pPr>
            <w:r>
              <w:rPr>
                <w:color w:val="231F20"/>
                <w:spacing w:val="-4"/>
              </w:rPr>
              <w:t>4.意外险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344"/>
              <w:spacing w:before="72" w:line="209" w:lineRule="auto"/>
              <w:rPr/>
            </w:pPr>
            <w:r>
              <w:rPr>
                <w:color w:val="231F20"/>
                <w:spacing w:val="-11"/>
              </w:rPr>
              <w:t>1075.55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31"/>
              <w:spacing w:before="72" w:line="209" w:lineRule="auto"/>
              <w:rPr/>
            </w:pPr>
            <w:r>
              <w:rPr>
                <w:color w:val="231F20"/>
                <w:spacing w:val="-11"/>
              </w:rPr>
              <w:t>19.33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221"/>
              <w:spacing w:before="72" w:line="209" w:lineRule="auto"/>
              <w:rPr/>
            </w:pPr>
            <w:r>
              <w:rPr>
                <w:color w:val="231F20"/>
                <w:spacing w:val="-11"/>
              </w:rPr>
              <w:t>1175.16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5"/>
              <w:spacing w:before="72" w:line="209" w:lineRule="auto"/>
              <w:rPr/>
            </w:pPr>
            <w:r>
              <w:rPr>
                <w:color w:val="231F20"/>
                <w:spacing w:val="-8"/>
              </w:rPr>
              <w:t>9.26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234"/>
              <w:spacing w:before="72" w:line="209" w:lineRule="auto"/>
              <w:rPr/>
            </w:pPr>
            <w:r>
              <w:rPr>
                <w:color w:val="231F20"/>
                <w:spacing w:val="-11"/>
              </w:rPr>
              <w:t>1174.11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108"/>
              <w:spacing w:before="72" w:line="209" w:lineRule="auto"/>
              <w:rPr/>
            </w:pPr>
            <w:r>
              <w:rPr>
                <w:color w:val="231F20"/>
                <w:spacing w:val="-2"/>
              </w:rPr>
              <w:t>-0.09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220"/>
              <w:spacing w:before="72" w:line="209" w:lineRule="auto"/>
              <w:rPr/>
            </w:pPr>
            <w:r>
              <w:rPr>
                <w:color w:val="231F20"/>
                <w:spacing w:val="-11"/>
              </w:rPr>
              <w:t>1210.19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208"/>
              <w:spacing w:before="72" w:line="209" w:lineRule="auto"/>
              <w:rPr/>
            </w:pPr>
            <w:r>
              <w:rPr>
                <w:color w:val="231F20"/>
                <w:spacing w:val="-9"/>
              </w:rPr>
              <w:t>3.07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220"/>
              <w:spacing w:before="72" w:line="209" w:lineRule="auto"/>
              <w:rPr/>
            </w:pPr>
            <w:r>
              <w:rPr>
                <w:color w:val="231F20"/>
                <w:spacing w:val="-11"/>
              </w:rPr>
              <w:t>1073.23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71"/>
              <w:spacing w:before="72" w:line="209" w:lineRule="auto"/>
              <w:rPr/>
            </w:pPr>
            <w:r>
              <w:rPr>
                <w:color w:val="231F20"/>
                <w:spacing w:val="-3"/>
              </w:rPr>
              <w:t>-11.32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310"/>
              <w:spacing w:before="72" w:line="209" w:lineRule="auto"/>
              <w:rPr/>
            </w:pPr>
            <w:r>
              <w:rPr>
                <w:color w:val="231F20"/>
                <w:spacing w:val="-9"/>
              </w:rPr>
              <w:t>958.77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70"/>
              <w:spacing w:before="72" w:line="209" w:lineRule="auto"/>
              <w:rPr/>
            </w:pPr>
            <w:r>
              <w:rPr>
                <w:color w:val="231F20"/>
                <w:spacing w:val="-3"/>
              </w:rPr>
              <w:t>-10.67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308"/>
              <w:spacing w:before="72" w:line="209" w:lineRule="auto"/>
              <w:rPr/>
            </w:pPr>
            <w:r>
              <w:rPr>
                <w:color w:val="231F20"/>
                <w:spacing w:val="-9"/>
              </w:rPr>
              <w:t>942.12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74"/>
              <w:spacing w:before="72" w:line="209" w:lineRule="auto"/>
              <w:rPr/>
            </w:pPr>
            <w:r>
              <w:rPr>
                <w:color w:val="231F20"/>
                <w:spacing w:val="-2"/>
              </w:rPr>
              <w:t>-2.79</w:t>
            </w:r>
          </w:p>
        </w:tc>
      </w:tr>
      <w:tr>
        <w:trPr>
          <w:trHeight w:val="475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57"/>
              <w:spacing w:before="235" w:line="159" w:lineRule="auto"/>
              <w:rPr/>
            </w:pPr>
            <w:r>
              <w:rPr>
                <w:color w:val="231F20"/>
                <w:spacing w:val="-1"/>
              </w:rPr>
              <w:t>赔款给付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254"/>
              <w:spacing w:before="234" w:line="160" w:lineRule="auto"/>
              <w:rPr/>
            </w:pPr>
            <w:r>
              <w:rPr>
                <w:color w:val="231F20"/>
                <w:spacing w:val="-11"/>
              </w:rPr>
              <w:t>12297.87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205"/>
              <w:spacing w:before="234" w:line="160" w:lineRule="auto"/>
              <w:rPr/>
            </w:pPr>
            <w:r>
              <w:rPr>
                <w:color w:val="231F20"/>
                <w:spacing w:val="-8"/>
              </w:rPr>
              <w:t>9.99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131"/>
              <w:spacing w:before="234" w:line="160" w:lineRule="auto"/>
              <w:rPr/>
            </w:pPr>
            <w:r>
              <w:rPr>
                <w:color w:val="231F20"/>
                <w:spacing w:val="-11"/>
              </w:rPr>
              <w:t>12893.97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2"/>
              <w:spacing w:before="234" w:line="160" w:lineRule="auto"/>
              <w:rPr/>
            </w:pPr>
            <w:r>
              <w:rPr>
                <w:color w:val="231F20"/>
                <w:spacing w:val="-8"/>
              </w:rPr>
              <w:t>4.85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145"/>
              <w:spacing w:before="234" w:line="160" w:lineRule="auto"/>
              <w:rPr/>
            </w:pPr>
            <w:r>
              <w:rPr>
                <w:color w:val="231F20"/>
                <w:spacing w:val="-11"/>
              </w:rPr>
              <w:t>13907.10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203"/>
              <w:spacing w:before="234" w:line="160" w:lineRule="auto"/>
              <w:rPr/>
            </w:pPr>
            <w:r>
              <w:rPr>
                <w:color w:val="231F20"/>
                <w:spacing w:val="-8"/>
              </w:rPr>
              <w:t>7.86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131"/>
              <w:spacing w:before="234" w:line="160" w:lineRule="auto"/>
              <w:rPr/>
            </w:pPr>
            <w:r>
              <w:rPr>
                <w:color w:val="231F20"/>
                <w:spacing w:val="-11"/>
              </w:rPr>
              <w:t>15608.64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30"/>
              <w:spacing w:before="234" w:line="160" w:lineRule="auto"/>
              <w:rPr/>
            </w:pPr>
            <w:r>
              <w:rPr>
                <w:color w:val="231F20"/>
                <w:spacing w:val="-11"/>
              </w:rPr>
              <w:t>12.24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131"/>
              <w:spacing w:before="234" w:line="160" w:lineRule="auto"/>
              <w:rPr/>
            </w:pPr>
            <w:r>
              <w:rPr>
                <w:color w:val="231F20"/>
                <w:spacing w:val="-11"/>
              </w:rPr>
              <w:t>15485.14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60"/>
              <w:spacing w:before="234" w:line="160" w:lineRule="auto"/>
              <w:rPr/>
            </w:pPr>
            <w:r>
              <w:rPr>
                <w:color w:val="231F20"/>
                <w:spacing w:val="-2"/>
              </w:rPr>
              <w:t>-0.79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146"/>
              <w:spacing w:before="234" w:line="160" w:lineRule="auto"/>
              <w:rPr/>
            </w:pPr>
            <w:r>
              <w:rPr>
                <w:color w:val="231F20"/>
                <w:spacing w:val="-11"/>
              </w:rPr>
              <w:t>18882.98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166"/>
              <w:spacing w:before="234" w:line="160" w:lineRule="auto"/>
              <w:rPr/>
            </w:pPr>
            <w:r>
              <w:rPr>
                <w:color w:val="231F20"/>
                <w:spacing w:val="-9"/>
              </w:rPr>
              <w:t>21.94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130"/>
              <w:spacing w:before="234" w:line="160" w:lineRule="auto"/>
              <w:rPr/>
            </w:pPr>
            <w:r>
              <w:rPr>
                <w:color w:val="231F20"/>
                <w:spacing w:val="-10"/>
              </w:rPr>
              <w:t>23005.47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95"/>
              <w:spacing w:before="234" w:line="160" w:lineRule="auto"/>
              <w:rPr/>
            </w:pPr>
            <w:r>
              <w:rPr>
                <w:color w:val="231F20"/>
                <w:spacing w:val="-11"/>
              </w:rPr>
              <w:t>19.44</w:t>
            </w:r>
          </w:p>
        </w:tc>
      </w:tr>
      <w:tr>
        <w:trPr>
          <w:trHeight w:val="314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76"/>
              <w:spacing w:before="74" w:line="159" w:lineRule="auto"/>
              <w:rPr/>
            </w:pPr>
            <w:r>
              <w:rPr>
                <w:color w:val="231F20"/>
                <w:spacing w:val="-10"/>
              </w:rPr>
              <w:t>1.产险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329"/>
              <w:spacing w:before="74" w:line="159" w:lineRule="auto"/>
              <w:rPr/>
            </w:pPr>
            <w:r>
              <w:rPr>
                <w:color w:val="231F20"/>
                <w:spacing w:val="-10"/>
              </w:rPr>
              <w:t>5897.32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31"/>
              <w:spacing w:before="74" w:line="159" w:lineRule="auto"/>
              <w:rPr/>
            </w:pPr>
            <w:r>
              <w:rPr>
                <w:color w:val="231F20"/>
                <w:spacing w:val="-11"/>
              </w:rPr>
              <w:t>15.92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207"/>
              <w:spacing w:before="74" w:line="159" w:lineRule="auto"/>
              <w:rPr/>
            </w:pPr>
            <w:r>
              <w:rPr>
                <w:color w:val="231F20"/>
                <w:spacing w:val="-10"/>
              </w:rPr>
              <w:t>6501.62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80"/>
              <w:spacing w:before="74" w:line="159" w:lineRule="auto"/>
              <w:rPr/>
            </w:pPr>
            <w:r>
              <w:rPr>
                <w:color w:val="231F20"/>
                <w:spacing w:val="-11"/>
              </w:rPr>
              <w:t>10.25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220"/>
              <w:spacing w:before="74" w:line="159" w:lineRule="auto"/>
              <w:rPr/>
            </w:pPr>
            <w:r>
              <w:rPr>
                <w:color w:val="231F20"/>
                <w:spacing w:val="-10"/>
              </w:rPr>
              <w:t>6954.79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204"/>
              <w:spacing w:before="74" w:line="159" w:lineRule="auto"/>
              <w:rPr/>
            </w:pPr>
            <w:r>
              <w:rPr>
                <w:color w:val="231F20"/>
                <w:spacing w:val="-8"/>
              </w:rPr>
              <w:t>6.97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204"/>
              <w:spacing w:before="74" w:line="159" w:lineRule="auto"/>
              <w:rPr/>
            </w:pPr>
            <w:r>
              <w:rPr>
                <w:color w:val="231F20"/>
                <w:spacing w:val="-9"/>
              </w:rPr>
              <w:t>7687.50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30"/>
              <w:spacing w:before="74" w:line="159" w:lineRule="auto"/>
              <w:rPr/>
            </w:pPr>
            <w:r>
              <w:rPr>
                <w:color w:val="231F20"/>
                <w:spacing w:val="-11"/>
              </w:rPr>
              <w:t>10.54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204"/>
              <w:spacing w:before="74" w:line="159" w:lineRule="auto"/>
              <w:rPr/>
            </w:pPr>
            <w:r>
              <w:rPr>
                <w:color w:val="231F20"/>
                <w:spacing w:val="-9"/>
              </w:rPr>
              <w:t>7756.95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5"/>
              <w:spacing w:before="74" w:line="159" w:lineRule="auto"/>
              <w:rPr/>
            </w:pPr>
            <w:r>
              <w:rPr>
                <w:color w:val="231F20"/>
                <w:spacing w:val="-8"/>
              </w:rPr>
              <w:t>0.90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220"/>
              <w:spacing w:before="74" w:line="159" w:lineRule="auto"/>
              <w:rPr/>
            </w:pPr>
            <w:r>
              <w:rPr>
                <w:color w:val="231F20"/>
                <w:spacing w:val="-9"/>
              </w:rPr>
              <w:t>9171.35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181"/>
              <w:spacing w:before="74" w:line="159" w:lineRule="auto"/>
              <w:rPr/>
            </w:pPr>
            <w:r>
              <w:rPr>
                <w:color w:val="231F20"/>
                <w:spacing w:val="-11"/>
              </w:rPr>
              <w:t>18.23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219"/>
              <w:spacing w:before="74" w:line="159" w:lineRule="auto"/>
              <w:rPr/>
            </w:pPr>
            <w:r>
              <w:rPr>
                <w:color w:val="231F20"/>
                <w:spacing w:val="-9"/>
              </w:rPr>
              <w:t>9810.07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171"/>
              <w:spacing w:before="74" w:line="159" w:lineRule="auto"/>
              <w:rPr/>
            </w:pPr>
            <w:r>
              <w:rPr>
                <w:color w:val="231F20"/>
                <w:spacing w:val="-8"/>
              </w:rPr>
              <w:t>5.95</w:t>
            </w:r>
          </w:p>
        </w:tc>
      </w:tr>
      <w:tr>
        <w:trPr>
          <w:trHeight w:val="314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61"/>
              <w:spacing w:before="77" w:line="157" w:lineRule="auto"/>
              <w:rPr/>
            </w:pPr>
            <w:r>
              <w:rPr>
                <w:color w:val="231F20"/>
                <w:spacing w:val="-6"/>
              </w:rPr>
              <w:t>2.寿险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326"/>
              <w:spacing w:before="77" w:line="157" w:lineRule="auto"/>
              <w:rPr/>
            </w:pPr>
            <w:r>
              <w:rPr>
                <w:color w:val="231F20"/>
                <w:spacing w:val="-9"/>
              </w:rPr>
              <w:t>4388.52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09"/>
              <w:spacing w:before="77" w:line="157" w:lineRule="auto"/>
              <w:rPr/>
            </w:pPr>
            <w:r>
              <w:rPr>
                <w:color w:val="231F20"/>
                <w:spacing w:val="-2"/>
              </w:rPr>
              <w:t>-4.07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209"/>
              <w:spacing w:before="77" w:line="157" w:lineRule="auto"/>
              <w:rPr/>
            </w:pPr>
            <w:r>
              <w:rPr>
                <w:color w:val="231F20"/>
                <w:spacing w:val="-10"/>
              </w:rPr>
              <w:t>3743.21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70"/>
              <w:spacing w:before="77" w:line="157" w:lineRule="auto"/>
              <w:rPr/>
            </w:pPr>
            <w:r>
              <w:rPr>
                <w:color w:val="231F20"/>
                <w:spacing w:val="-3"/>
              </w:rPr>
              <w:t>-14.70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222"/>
              <w:spacing w:before="77" w:line="157" w:lineRule="auto"/>
              <w:rPr/>
            </w:pPr>
            <w:r>
              <w:rPr>
                <w:color w:val="231F20"/>
                <w:spacing w:val="-10"/>
              </w:rPr>
              <w:t>3715.11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108"/>
              <w:spacing w:before="77" w:line="157" w:lineRule="auto"/>
              <w:rPr/>
            </w:pPr>
            <w:r>
              <w:rPr>
                <w:color w:val="231F20"/>
                <w:spacing w:val="-2"/>
              </w:rPr>
              <w:t>-0.75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208"/>
              <w:spacing w:before="77" w:line="157" w:lineRule="auto"/>
              <w:rPr/>
            </w:pPr>
            <w:r>
              <w:rPr>
                <w:color w:val="231F20"/>
                <w:spacing w:val="-10"/>
              </w:rPr>
              <w:t>3540.25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09"/>
              <w:spacing w:before="77" w:line="157" w:lineRule="auto"/>
              <w:rPr/>
            </w:pPr>
            <w:r>
              <w:rPr>
                <w:color w:val="231F20"/>
                <w:spacing w:val="-2"/>
              </w:rPr>
              <w:t>-4.71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208"/>
              <w:spacing w:before="77" w:line="157" w:lineRule="auto"/>
              <w:rPr/>
            </w:pPr>
            <w:r>
              <w:rPr>
                <w:color w:val="231F20"/>
                <w:spacing w:val="-10"/>
              </w:rPr>
              <w:t>3791.40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4"/>
              <w:spacing w:before="77" w:line="157" w:lineRule="auto"/>
              <w:rPr/>
            </w:pPr>
            <w:r>
              <w:rPr>
                <w:color w:val="231F20"/>
                <w:spacing w:val="-8"/>
              </w:rPr>
              <w:t>7.09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221"/>
              <w:spacing w:before="77" w:line="157" w:lineRule="auto"/>
              <w:rPr/>
            </w:pPr>
            <w:r>
              <w:rPr>
                <w:color w:val="231F20"/>
                <w:spacing w:val="-10"/>
              </w:rPr>
              <w:t>5504.96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163"/>
              <w:spacing w:before="77" w:line="157" w:lineRule="auto"/>
              <w:rPr/>
            </w:pPr>
            <w:r>
              <w:rPr>
                <w:color w:val="231F20"/>
                <w:spacing w:val="-8"/>
              </w:rPr>
              <w:t>45.20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221"/>
              <w:spacing w:before="77" w:line="157" w:lineRule="auto"/>
              <w:rPr/>
            </w:pPr>
            <w:r>
              <w:rPr>
                <w:color w:val="231F20"/>
                <w:spacing w:val="-10"/>
              </w:rPr>
              <w:t>8746.63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81"/>
              <w:spacing w:before="77" w:line="157" w:lineRule="auto"/>
              <w:rPr/>
            </w:pPr>
            <w:r>
              <w:rPr>
                <w:color w:val="231F20"/>
                <w:spacing w:val="-9"/>
              </w:rPr>
              <w:t>52.60</w:t>
            </w:r>
          </w:p>
        </w:tc>
      </w:tr>
      <w:tr>
        <w:trPr>
          <w:trHeight w:val="317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64"/>
              <w:spacing w:before="79" w:line="158" w:lineRule="auto"/>
              <w:rPr/>
            </w:pPr>
            <w:r>
              <w:rPr>
                <w:color w:val="231F20"/>
                <w:spacing w:val="-5"/>
              </w:rPr>
              <w:t>3.健康险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344"/>
              <w:spacing w:before="79" w:line="158" w:lineRule="auto"/>
              <w:rPr/>
            </w:pPr>
            <w:r>
              <w:rPr>
                <w:color w:val="231F20"/>
                <w:spacing w:val="-11"/>
              </w:rPr>
              <w:t>1744.34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19"/>
              <w:spacing w:before="79" w:line="158" w:lineRule="auto"/>
              <w:rPr/>
            </w:pPr>
            <w:r>
              <w:rPr>
                <w:color w:val="231F20"/>
                <w:spacing w:val="-9"/>
              </w:rPr>
              <w:t>34.72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206"/>
              <w:spacing w:before="79" w:line="158" w:lineRule="auto"/>
              <w:rPr/>
            </w:pPr>
            <w:r>
              <w:rPr>
                <w:color w:val="231F20"/>
                <w:spacing w:val="-9"/>
              </w:rPr>
              <w:t>2351.48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68"/>
              <w:spacing w:before="79" w:line="158" w:lineRule="auto"/>
              <w:rPr/>
            </w:pPr>
            <w:r>
              <w:rPr>
                <w:color w:val="231F20"/>
                <w:spacing w:val="-9"/>
              </w:rPr>
              <w:t>34.81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219"/>
              <w:spacing w:before="79" w:line="158" w:lineRule="auto"/>
              <w:rPr/>
            </w:pPr>
            <w:r>
              <w:rPr>
                <w:color w:val="231F20"/>
                <w:spacing w:val="-9"/>
              </w:rPr>
              <w:t>2921.16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114"/>
              <w:spacing w:before="79" w:line="158" w:lineRule="auto"/>
              <w:rPr/>
            </w:pPr>
            <w:r>
              <w:rPr>
                <w:color w:val="231F20"/>
                <w:spacing w:val="-9"/>
              </w:rPr>
              <w:t>24.23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203"/>
              <w:spacing w:before="79" w:line="158" w:lineRule="auto"/>
              <w:rPr/>
            </w:pPr>
            <w:r>
              <w:rPr>
                <w:color w:val="231F20"/>
                <w:spacing w:val="-9"/>
              </w:rPr>
              <w:t>4028.50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18"/>
              <w:spacing w:before="79" w:line="158" w:lineRule="auto"/>
              <w:rPr/>
            </w:pPr>
            <w:r>
              <w:rPr>
                <w:color w:val="231F20"/>
                <w:spacing w:val="-9"/>
              </w:rPr>
              <w:t>37.91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208"/>
              <w:spacing w:before="79" w:line="158" w:lineRule="auto"/>
              <w:rPr/>
            </w:pPr>
            <w:r>
              <w:rPr>
                <w:color w:val="231F20"/>
                <w:spacing w:val="-10"/>
              </w:rPr>
              <w:t>3599.53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71"/>
              <w:spacing w:before="79" w:line="158" w:lineRule="auto"/>
              <w:rPr/>
            </w:pPr>
            <w:r>
              <w:rPr>
                <w:color w:val="231F20"/>
                <w:spacing w:val="-3"/>
              </w:rPr>
              <w:t>-10.65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223"/>
              <w:spacing w:before="79" w:line="158" w:lineRule="auto"/>
              <w:rPr/>
            </w:pPr>
            <w:r>
              <w:rPr>
                <w:color w:val="231F20"/>
                <w:spacing w:val="-10"/>
              </w:rPr>
              <w:t>3830.66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256"/>
              <w:spacing w:before="79" w:line="158" w:lineRule="auto"/>
              <w:rPr/>
            </w:pPr>
            <w:r>
              <w:rPr>
                <w:color w:val="231F20"/>
                <w:spacing w:val="-8"/>
              </w:rPr>
              <w:t>6.42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216"/>
              <w:spacing w:before="79" w:line="158" w:lineRule="auto"/>
              <w:rPr/>
            </w:pPr>
            <w:r>
              <w:rPr>
                <w:color w:val="231F20"/>
                <w:spacing w:val="-9"/>
              </w:rPr>
              <w:t>4052.18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167"/>
              <w:spacing w:before="79" w:line="158" w:lineRule="auto"/>
              <w:rPr/>
            </w:pPr>
            <w:r>
              <w:rPr>
                <w:color w:val="231F20"/>
                <w:spacing w:val="-8"/>
              </w:rPr>
              <w:t>4.20</w:t>
            </w:r>
          </w:p>
        </w:tc>
      </w:tr>
      <w:tr>
        <w:trPr>
          <w:trHeight w:val="472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58"/>
              <w:spacing w:before="78" w:line="201" w:lineRule="auto"/>
              <w:rPr/>
            </w:pPr>
            <w:r>
              <w:rPr>
                <w:color w:val="231F20"/>
                <w:spacing w:val="-4"/>
              </w:rPr>
              <w:t>4.意外险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418"/>
              <w:spacing w:before="78" w:line="209" w:lineRule="auto"/>
              <w:rPr/>
            </w:pPr>
            <w:r>
              <w:rPr>
                <w:color w:val="231F20"/>
                <w:spacing w:val="-9"/>
              </w:rPr>
              <w:t>267.70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31"/>
              <w:spacing w:before="78" w:line="209" w:lineRule="auto"/>
              <w:rPr/>
            </w:pPr>
            <w:r>
              <w:rPr>
                <w:color w:val="231F20"/>
                <w:spacing w:val="-11"/>
              </w:rPr>
              <w:t>19.68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295"/>
              <w:spacing w:before="78" w:line="209" w:lineRule="auto"/>
              <w:rPr/>
            </w:pPr>
            <w:r>
              <w:rPr>
                <w:color w:val="231F20"/>
                <w:spacing w:val="-9"/>
              </w:rPr>
              <w:t>297.66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80"/>
              <w:spacing w:before="78" w:line="209" w:lineRule="auto"/>
              <w:rPr/>
            </w:pPr>
            <w:r>
              <w:rPr>
                <w:color w:val="231F20"/>
                <w:spacing w:val="-11"/>
              </w:rPr>
              <w:t>11.19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312"/>
              <w:spacing w:before="78" w:line="209" w:lineRule="auto"/>
              <w:rPr/>
            </w:pPr>
            <w:r>
              <w:rPr>
                <w:color w:val="231F20"/>
                <w:spacing w:val="-10"/>
              </w:rPr>
              <w:t>316.04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204"/>
              <w:spacing w:before="78" w:line="209" w:lineRule="auto"/>
              <w:rPr/>
            </w:pPr>
            <w:r>
              <w:rPr>
                <w:color w:val="231F20"/>
                <w:spacing w:val="-8"/>
              </w:rPr>
              <w:t>6.17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298"/>
              <w:spacing w:before="78" w:line="209" w:lineRule="auto"/>
              <w:rPr/>
            </w:pPr>
            <w:r>
              <w:rPr>
                <w:color w:val="231F20"/>
                <w:spacing w:val="-10"/>
              </w:rPr>
              <w:t>352.39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30"/>
              <w:spacing w:before="78" w:line="209" w:lineRule="auto"/>
              <w:rPr/>
            </w:pPr>
            <w:r>
              <w:rPr>
                <w:color w:val="231F20"/>
                <w:spacing w:val="-11"/>
              </w:rPr>
              <w:t>11.50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298"/>
              <w:spacing w:before="78" w:line="209" w:lineRule="auto"/>
              <w:rPr/>
            </w:pPr>
            <w:r>
              <w:rPr>
                <w:color w:val="231F20"/>
                <w:spacing w:val="-10"/>
              </w:rPr>
              <w:t>337.26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60"/>
              <w:spacing w:before="78" w:line="209" w:lineRule="auto"/>
              <w:rPr/>
            </w:pPr>
            <w:r>
              <w:rPr>
                <w:color w:val="231F20"/>
                <w:spacing w:val="-2"/>
              </w:rPr>
              <w:t>-4.29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312"/>
              <w:spacing w:before="78" w:line="209" w:lineRule="auto"/>
              <w:rPr/>
            </w:pPr>
            <w:r>
              <w:rPr>
                <w:color w:val="231F20"/>
                <w:spacing w:val="-10"/>
              </w:rPr>
              <w:t>376.01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181"/>
              <w:spacing w:before="78" w:line="209" w:lineRule="auto"/>
              <w:rPr/>
            </w:pPr>
            <w:r>
              <w:rPr>
                <w:color w:val="231F20"/>
                <w:spacing w:val="-11"/>
              </w:rPr>
              <w:t>11.49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311"/>
              <w:spacing w:before="78" w:line="209" w:lineRule="auto"/>
              <w:rPr/>
            </w:pPr>
            <w:r>
              <w:rPr>
                <w:color w:val="231F20"/>
                <w:spacing w:val="-10"/>
              </w:rPr>
              <w:t>396.60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173"/>
              <w:spacing w:before="78" w:line="209" w:lineRule="auto"/>
              <w:rPr/>
            </w:pPr>
            <w:r>
              <w:rPr>
                <w:color w:val="231F20"/>
                <w:spacing w:val="-9"/>
              </w:rPr>
              <w:t>3.62</w:t>
            </w:r>
          </w:p>
        </w:tc>
      </w:tr>
      <w:tr>
        <w:trPr>
          <w:trHeight w:val="630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68"/>
              <w:spacing w:before="243" w:line="177" w:lineRule="auto"/>
              <w:rPr/>
            </w:pPr>
            <w:r>
              <w:rPr>
                <w:color w:val="231F20"/>
                <w:spacing w:val="-3"/>
              </w:rPr>
              <w:t>营业费用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326"/>
              <w:spacing w:before="238" w:line="209" w:lineRule="auto"/>
              <w:rPr/>
            </w:pPr>
            <w:r>
              <w:rPr>
                <w:color w:val="231F20"/>
                <w:spacing w:val="-9"/>
              </w:rPr>
              <w:t>4717.73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31"/>
              <w:spacing w:before="238" w:line="209" w:lineRule="auto"/>
              <w:rPr/>
            </w:pPr>
            <w:r>
              <w:rPr>
                <w:color w:val="231F20"/>
                <w:spacing w:val="-11"/>
              </w:rPr>
              <w:t>10.02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207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5490.57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80"/>
              <w:spacing w:before="238" w:line="209" w:lineRule="auto"/>
              <w:rPr/>
            </w:pPr>
            <w:r>
              <w:rPr>
                <w:color w:val="231F20"/>
                <w:spacing w:val="-11"/>
              </w:rPr>
              <w:t>16.38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220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5728.05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201"/>
              <w:spacing w:before="238" w:line="209" w:lineRule="auto"/>
              <w:rPr/>
            </w:pPr>
            <w:r>
              <w:rPr>
                <w:color w:val="231F20"/>
                <w:spacing w:val="-8"/>
              </w:rPr>
              <w:t>4.33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206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5224.93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09"/>
              <w:spacing w:before="238" w:line="209" w:lineRule="auto"/>
              <w:rPr/>
            </w:pPr>
            <w:r>
              <w:rPr>
                <w:color w:val="231F20"/>
                <w:spacing w:val="-2"/>
              </w:rPr>
              <w:t>-8.78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206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5238.88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5"/>
              <w:spacing w:before="238" w:line="209" w:lineRule="auto"/>
              <w:rPr/>
            </w:pPr>
            <w:r>
              <w:rPr>
                <w:color w:val="231F20"/>
                <w:spacing w:val="-8"/>
              </w:rPr>
              <w:t>0.27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221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5477.89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253"/>
              <w:spacing w:before="238" w:line="209" w:lineRule="auto"/>
              <w:rPr/>
            </w:pPr>
            <w:r>
              <w:rPr>
                <w:color w:val="231F20"/>
                <w:spacing w:val="-8"/>
              </w:rPr>
              <w:t>4.56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220"/>
              <w:spacing w:before="238" w:line="209" w:lineRule="auto"/>
              <w:rPr/>
            </w:pPr>
            <w:r>
              <w:rPr>
                <w:color w:val="231F20"/>
                <w:spacing w:val="-10"/>
              </w:rPr>
              <w:t>5530.71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74"/>
              <w:spacing w:before="238" w:line="209" w:lineRule="auto"/>
              <w:rPr/>
            </w:pPr>
            <w:r>
              <w:rPr>
                <w:color w:val="231F20"/>
                <w:spacing w:val="-2"/>
              </w:rPr>
              <w:t>-1.44</w:t>
            </w:r>
          </w:p>
        </w:tc>
      </w:tr>
      <w:tr>
        <w:trPr>
          <w:trHeight w:val="472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59"/>
              <w:spacing w:before="243" w:line="219" w:lineRule="exact"/>
              <w:rPr/>
            </w:pPr>
            <w:r>
              <w:rPr>
                <w:color w:val="231F20"/>
                <w:spacing w:val="-1"/>
              </w:rPr>
              <w:t>银行存款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239"/>
              <w:spacing w:before="240" w:line="222" w:lineRule="exact"/>
              <w:rPr/>
            </w:pPr>
            <w:r>
              <w:rPr>
                <w:color w:val="231F20"/>
                <w:spacing w:val="-10"/>
              </w:rPr>
              <w:t>24363.50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16"/>
              <w:spacing w:before="240" w:line="222" w:lineRule="exact"/>
              <w:rPr/>
            </w:pPr>
            <w:r>
              <w:rPr>
                <w:color w:val="231F20"/>
                <w:spacing w:val="-9"/>
              </w:rPr>
              <w:t>26.41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116"/>
              <w:spacing w:before="240" w:line="222" w:lineRule="exact"/>
              <w:rPr/>
            </w:pPr>
            <w:r>
              <w:rPr>
                <w:color w:val="231F20"/>
                <w:spacing w:val="-10"/>
              </w:rPr>
              <w:t>25227.42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8"/>
              <w:spacing w:before="240" w:line="222" w:lineRule="exact"/>
              <w:rPr/>
            </w:pPr>
            <w:r>
              <w:rPr>
                <w:color w:val="231F20"/>
                <w:spacing w:val="-9"/>
              </w:rPr>
              <w:t>3.55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130"/>
              <w:spacing w:before="240" w:line="222" w:lineRule="exact"/>
              <w:rPr/>
            </w:pPr>
            <w:r>
              <w:rPr>
                <w:color w:val="231F20"/>
                <w:spacing w:val="-10"/>
              </w:rPr>
              <w:t>25973.45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204"/>
              <w:spacing w:before="240" w:line="222" w:lineRule="exact"/>
              <w:rPr/>
            </w:pPr>
            <w:r>
              <w:rPr>
                <w:color w:val="231F20"/>
                <w:spacing w:val="-8"/>
              </w:rPr>
              <w:t>2.96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116"/>
              <w:spacing w:before="240" w:line="222" w:lineRule="exact"/>
              <w:rPr/>
            </w:pPr>
            <w:r>
              <w:rPr>
                <w:color w:val="231F20"/>
                <w:spacing w:val="-10"/>
              </w:rPr>
              <w:t>26178.59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204"/>
              <w:spacing w:before="240" w:line="222" w:lineRule="exact"/>
              <w:rPr/>
            </w:pPr>
            <w:r>
              <w:rPr>
                <w:color w:val="231F20"/>
                <w:spacing w:val="-8"/>
              </w:rPr>
              <w:t>0.79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116"/>
              <w:spacing w:before="240" w:line="222" w:lineRule="exact"/>
              <w:rPr/>
            </w:pPr>
            <w:r>
              <w:rPr>
                <w:color w:val="231F20"/>
                <w:spacing w:val="-10"/>
              </w:rPr>
              <w:t>28347.87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8"/>
              <w:spacing w:before="240" w:line="222" w:lineRule="exact"/>
              <w:rPr/>
            </w:pPr>
            <w:r>
              <w:rPr>
                <w:color w:val="231F20"/>
                <w:spacing w:val="-8"/>
              </w:rPr>
              <w:t>8.29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131"/>
              <w:spacing w:before="240" w:line="222" w:lineRule="exact"/>
              <w:rPr/>
            </w:pPr>
            <w:r>
              <w:rPr>
                <w:color w:val="231F20"/>
                <w:spacing w:val="-10"/>
              </w:rPr>
              <w:t>27243.40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160"/>
              <w:spacing w:before="240" w:line="222" w:lineRule="exact"/>
              <w:rPr/>
            </w:pPr>
            <w:r>
              <w:rPr>
                <w:color w:val="231F20"/>
                <w:spacing w:val="-2"/>
              </w:rPr>
              <w:t>-3.90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133"/>
              <w:spacing w:before="240" w:line="222" w:lineRule="exact"/>
              <w:rPr/>
            </w:pPr>
            <w:r>
              <w:rPr>
                <w:color w:val="231F20"/>
                <w:spacing w:val="-10"/>
              </w:rPr>
              <w:t>31529.54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170"/>
              <w:spacing w:before="240" w:line="222" w:lineRule="exact"/>
              <w:rPr/>
            </w:pPr>
            <w:r>
              <w:rPr>
                <w:color w:val="231F20"/>
                <w:spacing w:val="-8"/>
              </w:rPr>
              <w:t>9.51</w:t>
            </w:r>
          </w:p>
        </w:tc>
      </w:tr>
      <w:tr>
        <w:trPr>
          <w:trHeight w:val="315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60"/>
              <w:spacing w:before="87" w:line="218" w:lineRule="exact"/>
              <w:rPr/>
            </w:pPr>
            <w:r>
              <w:rPr>
                <w:color w:val="231F20"/>
                <w:spacing w:val="-2"/>
              </w:rPr>
              <w:t>投资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181"/>
              <w:spacing w:before="84" w:line="221" w:lineRule="exact"/>
              <w:rPr/>
            </w:pPr>
            <w:r>
              <w:rPr>
                <w:color w:val="231F20"/>
                <w:spacing w:val="-11"/>
              </w:rPr>
              <w:t>139724.88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204"/>
              <w:spacing w:before="84" w:line="221" w:lineRule="exact"/>
              <w:rPr/>
            </w:pPr>
            <w:r>
              <w:rPr>
                <w:color w:val="231F20"/>
                <w:spacing w:val="-8"/>
              </w:rPr>
              <w:t>7.54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58"/>
              <w:spacing w:before="84" w:line="221" w:lineRule="exact"/>
              <w:rPr/>
            </w:pPr>
            <w:r>
              <w:rPr>
                <w:color w:val="231F20"/>
                <w:spacing w:val="-11"/>
              </w:rPr>
              <w:t>120618.47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70"/>
              <w:spacing w:before="84" w:line="221" w:lineRule="exact"/>
              <w:rPr/>
            </w:pPr>
            <w:r>
              <w:rPr>
                <w:color w:val="231F20"/>
                <w:spacing w:val="-3"/>
              </w:rPr>
              <w:t>-13.67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71"/>
              <w:spacing w:before="84" w:line="221" w:lineRule="exact"/>
              <w:rPr/>
            </w:pPr>
            <w:r>
              <w:rPr>
                <w:color w:val="231F20"/>
                <w:spacing w:val="-11"/>
              </w:rPr>
              <w:t>190827.68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115"/>
              <w:spacing w:before="84" w:line="221" w:lineRule="exact"/>
              <w:rPr/>
            </w:pPr>
            <w:r>
              <w:rPr>
                <w:color w:val="231F20"/>
                <w:spacing w:val="-9"/>
              </w:rPr>
              <w:t>58.21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43"/>
              <w:spacing w:before="84" w:line="221" w:lineRule="exact"/>
              <w:rPr/>
            </w:pPr>
            <w:r>
              <w:rPr>
                <w:color w:val="231F20"/>
                <w:spacing w:val="-10"/>
              </w:rPr>
              <w:t>206101.46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207"/>
              <w:spacing w:before="84" w:line="221" w:lineRule="exact"/>
              <w:rPr/>
            </w:pPr>
            <w:r>
              <w:rPr>
                <w:color w:val="231F20"/>
                <w:spacing w:val="-8"/>
              </w:rPr>
              <w:t>8.00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43"/>
              <w:spacing w:before="84" w:line="221" w:lineRule="exact"/>
              <w:rPr/>
            </w:pPr>
            <w:r>
              <w:rPr>
                <w:color w:val="231F20"/>
                <w:spacing w:val="-10"/>
              </w:rPr>
              <w:t>222161.06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4"/>
              <w:spacing w:before="84" w:line="221" w:lineRule="exact"/>
              <w:rPr/>
            </w:pPr>
            <w:r>
              <w:rPr>
                <w:color w:val="231F20"/>
                <w:spacing w:val="-8"/>
              </w:rPr>
              <w:t>7.79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57"/>
              <w:spacing w:before="84" w:line="221" w:lineRule="exact"/>
              <w:rPr/>
            </w:pPr>
            <w:r>
              <w:rPr>
                <w:color w:val="231F20"/>
                <w:spacing w:val="-10"/>
              </w:rPr>
              <w:t>249494.84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181"/>
              <w:spacing w:before="84" w:line="221" w:lineRule="exact"/>
              <w:rPr/>
            </w:pPr>
            <w:r>
              <w:rPr>
                <w:color w:val="231F20"/>
                <w:spacing w:val="-11"/>
              </w:rPr>
              <w:t>12.30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59"/>
              <w:spacing w:before="84" w:line="221" w:lineRule="exact"/>
              <w:rPr/>
            </w:pPr>
            <w:r>
              <w:rPr>
                <w:color w:val="231F20"/>
                <w:spacing w:val="-10"/>
              </w:rPr>
              <w:t>301050.67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95"/>
              <w:spacing w:before="84" w:line="221" w:lineRule="exact"/>
              <w:rPr/>
            </w:pPr>
            <w:r>
              <w:rPr>
                <w:color w:val="231F20"/>
                <w:spacing w:val="-11"/>
              </w:rPr>
              <w:t>15.70</w:t>
            </w:r>
          </w:p>
        </w:tc>
      </w:tr>
      <w:tr>
        <w:trPr>
          <w:trHeight w:val="316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59"/>
              <w:spacing w:before="88" w:line="218" w:lineRule="exact"/>
              <w:rPr/>
            </w:pPr>
            <w:r>
              <w:rPr>
                <w:color w:val="231F20"/>
                <w:spacing w:val="-1"/>
              </w:rPr>
              <w:t>其中：国债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254"/>
              <w:spacing w:before="85" w:line="221" w:lineRule="exact"/>
              <w:rPr/>
            </w:pPr>
            <w:r>
              <w:rPr>
                <w:color w:val="231F20"/>
                <w:spacing w:val="-11"/>
              </w:rPr>
              <w:t>14027.62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19"/>
              <w:spacing w:before="85" w:line="221" w:lineRule="exact"/>
              <w:rPr/>
            </w:pPr>
            <w:r>
              <w:rPr>
                <w:color w:val="231F20"/>
                <w:spacing w:val="-9"/>
              </w:rPr>
              <w:t>37.96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116"/>
              <w:spacing w:before="85" w:line="221" w:lineRule="exact"/>
              <w:rPr/>
            </w:pPr>
            <w:r>
              <w:rPr>
                <w:color w:val="231F20"/>
                <w:spacing w:val="-10"/>
              </w:rPr>
              <w:t>20672.01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63"/>
              <w:spacing w:before="85" w:line="221" w:lineRule="exact"/>
              <w:rPr/>
            </w:pPr>
            <w:r>
              <w:rPr>
                <w:color w:val="231F20"/>
                <w:spacing w:val="-8"/>
              </w:rPr>
              <w:t>47.37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133"/>
              <w:spacing w:before="85" w:line="221" w:lineRule="exact"/>
              <w:rPr/>
            </w:pPr>
            <w:r>
              <w:rPr>
                <w:color w:val="231F20"/>
                <w:spacing w:val="-10"/>
              </w:rPr>
              <w:t>32069.60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115"/>
              <w:spacing w:before="85" w:line="221" w:lineRule="exact"/>
              <w:rPr/>
            </w:pPr>
            <w:r>
              <w:rPr>
                <w:color w:val="231F20"/>
                <w:spacing w:val="-9"/>
              </w:rPr>
              <w:t>55.14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114"/>
              <w:spacing w:before="85" w:line="221" w:lineRule="exact"/>
              <w:rPr/>
            </w:pPr>
            <w:r>
              <w:rPr>
                <w:color w:val="231F20"/>
                <w:spacing w:val="-9"/>
              </w:rPr>
              <w:t>43054.84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18"/>
              <w:spacing w:before="85" w:line="221" w:lineRule="exact"/>
              <w:rPr/>
            </w:pPr>
            <w:r>
              <w:rPr>
                <w:color w:val="231F20"/>
                <w:spacing w:val="-9"/>
              </w:rPr>
              <w:t>34.25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117"/>
              <w:spacing w:before="85" w:line="221" w:lineRule="exact"/>
              <w:rPr/>
            </w:pPr>
            <w:r>
              <w:rPr>
                <w:color w:val="231F20"/>
                <w:spacing w:val="-10"/>
              </w:rPr>
              <w:t>51139.60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81"/>
              <w:spacing w:before="85" w:line="221" w:lineRule="exact"/>
              <w:rPr/>
            </w:pPr>
            <w:r>
              <w:rPr>
                <w:color w:val="231F20"/>
                <w:spacing w:val="-11"/>
              </w:rPr>
              <w:t>18.78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132"/>
              <w:spacing w:before="85" w:line="221" w:lineRule="exact"/>
              <w:rPr/>
            </w:pPr>
            <w:r>
              <w:rPr>
                <w:color w:val="231F20"/>
                <w:spacing w:val="-10"/>
              </w:rPr>
              <w:t>63193.74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166"/>
              <w:spacing w:before="85" w:line="221" w:lineRule="exact"/>
              <w:rPr/>
            </w:pPr>
            <w:r>
              <w:rPr>
                <w:color w:val="231F20"/>
                <w:spacing w:val="-9"/>
              </w:rPr>
              <w:t>23.57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132"/>
              <w:spacing w:before="85" w:line="221" w:lineRule="exact"/>
              <w:rPr/>
            </w:pPr>
            <w:r>
              <w:rPr>
                <w:color w:val="231F20"/>
                <w:spacing w:val="-10"/>
              </w:rPr>
              <w:t>87353.96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83"/>
              <w:spacing w:before="85" w:line="221" w:lineRule="exact"/>
              <w:rPr/>
            </w:pPr>
            <w:r>
              <w:rPr>
                <w:color w:val="231F20"/>
                <w:spacing w:val="-9"/>
              </w:rPr>
              <w:t>37.86</w:t>
            </w:r>
          </w:p>
        </w:tc>
      </w:tr>
      <w:tr>
        <w:trPr>
          <w:trHeight w:val="472" w:hRule="atLeast"/>
        </w:trPr>
        <w:tc>
          <w:tcPr>
            <w:tcW w:w="1851" w:type="dxa"/>
            <w:vAlign w:val="top"/>
          </w:tcPr>
          <w:p>
            <w:pPr>
              <w:pStyle w:val="TableText"/>
              <w:ind w:left="598"/>
              <w:spacing w:before="88" w:line="178" w:lineRule="auto"/>
              <w:rPr/>
            </w:pPr>
            <w:r>
              <w:rPr>
                <w:color w:val="231F20"/>
                <w:spacing w:val="-1"/>
              </w:rPr>
              <w:t>证券投资基金</w:t>
            </w:r>
          </w:p>
        </w:tc>
        <w:tc>
          <w:tcPr>
            <w:tcW w:w="981" w:type="dxa"/>
            <w:vAlign w:val="top"/>
          </w:tcPr>
          <w:p>
            <w:pPr>
              <w:pStyle w:val="TableText"/>
              <w:ind w:left="331"/>
              <w:spacing w:before="85" w:line="209" w:lineRule="auto"/>
              <w:rPr/>
            </w:pPr>
            <w:r>
              <w:rPr>
                <w:color w:val="231F20"/>
                <w:spacing w:val="-10"/>
              </w:rPr>
              <w:t>8650.55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31"/>
              <w:spacing w:before="85" w:line="209" w:lineRule="auto"/>
              <w:rPr/>
            </w:pPr>
            <w:r>
              <w:rPr>
                <w:color w:val="231F20"/>
                <w:spacing w:val="-11"/>
              </w:rPr>
              <w:t>14.96</w:t>
            </w:r>
          </w:p>
        </w:tc>
        <w:tc>
          <w:tcPr>
            <w:tcW w:w="865" w:type="dxa"/>
            <w:vAlign w:val="top"/>
          </w:tcPr>
          <w:p>
            <w:pPr>
              <w:pStyle w:val="TableText"/>
              <w:ind w:left="206"/>
              <w:spacing w:before="85" w:line="209" w:lineRule="auto"/>
              <w:rPr/>
            </w:pPr>
            <w:r>
              <w:rPr>
                <w:color w:val="231F20"/>
                <w:spacing w:val="-9"/>
              </w:rPr>
              <w:t>9423.29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257"/>
              <w:spacing w:before="85" w:line="209" w:lineRule="auto"/>
              <w:rPr/>
            </w:pPr>
            <w:r>
              <w:rPr>
                <w:color w:val="231F20"/>
                <w:spacing w:val="-8"/>
              </w:rPr>
              <w:t>8.93</w:t>
            </w:r>
          </w:p>
        </w:tc>
        <w:tc>
          <w:tcPr>
            <w:tcW w:w="873" w:type="dxa"/>
            <w:vAlign w:val="top"/>
          </w:tcPr>
          <w:p>
            <w:pPr>
              <w:pStyle w:val="TableText"/>
              <w:ind w:left="145"/>
              <w:spacing w:before="85" w:line="209" w:lineRule="auto"/>
              <w:rPr/>
            </w:pPr>
            <w:r>
              <w:rPr>
                <w:color w:val="231F20"/>
                <w:spacing w:val="-11"/>
              </w:rPr>
              <w:t>11040.41</w:t>
            </w:r>
          </w:p>
        </w:tc>
        <w:tc>
          <w:tcPr>
            <w:tcW w:w="615" w:type="dxa"/>
            <w:vAlign w:val="top"/>
          </w:tcPr>
          <w:p>
            <w:pPr>
              <w:pStyle w:val="TableText"/>
              <w:ind w:left="129"/>
              <w:spacing w:before="85" w:line="209" w:lineRule="auto"/>
              <w:rPr/>
            </w:pPr>
            <w:r>
              <w:rPr>
                <w:color w:val="231F20"/>
                <w:spacing w:val="-11"/>
              </w:rPr>
              <w:t>17.16</w:t>
            </w:r>
          </w:p>
        </w:tc>
        <w:tc>
          <w:tcPr>
            <w:tcW w:w="858" w:type="dxa"/>
            <w:vAlign w:val="top"/>
          </w:tcPr>
          <w:p>
            <w:pPr>
              <w:pStyle w:val="TableText"/>
              <w:ind w:left="131"/>
              <w:spacing w:before="85" w:line="209" w:lineRule="auto"/>
              <w:rPr/>
            </w:pPr>
            <w:r>
              <w:rPr>
                <w:color w:val="231F20"/>
                <w:spacing w:val="-11"/>
              </w:rPr>
              <w:t>12248.02</w:t>
            </w:r>
          </w:p>
        </w:tc>
        <w:tc>
          <w:tcPr>
            <w:tcW w:w="616" w:type="dxa"/>
            <w:vAlign w:val="top"/>
          </w:tcPr>
          <w:p>
            <w:pPr>
              <w:pStyle w:val="TableText"/>
              <w:ind w:left="130"/>
              <w:spacing w:before="85" w:line="209" w:lineRule="auto"/>
              <w:rPr/>
            </w:pPr>
            <w:r>
              <w:rPr>
                <w:color w:val="231F20"/>
                <w:spacing w:val="-11"/>
              </w:rPr>
              <w:t>10.94</w:t>
            </w:r>
          </w:p>
        </w:tc>
        <w:tc>
          <w:tcPr>
            <w:tcW w:w="864" w:type="dxa"/>
            <w:vAlign w:val="top"/>
          </w:tcPr>
          <w:p>
            <w:pPr>
              <w:pStyle w:val="TableText"/>
              <w:ind w:left="131"/>
              <w:spacing w:before="85" w:line="209" w:lineRule="auto"/>
              <w:rPr/>
            </w:pPr>
            <w:r>
              <w:rPr>
                <w:color w:val="231F20"/>
                <w:spacing w:val="-11"/>
              </w:rPr>
              <w:t>13971.79</w:t>
            </w:r>
          </w:p>
        </w:tc>
        <w:tc>
          <w:tcPr>
            <w:tcW w:w="652" w:type="dxa"/>
            <w:vAlign w:val="top"/>
          </w:tcPr>
          <w:p>
            <w:pPr>
              <w:pStyle w:val="TableText"/>
              <w:ind w:left="181"/>
              <w:spacing w:before="85" w:line="209" w:lineRule="auto"/>
              <w:rPr/>
            </w:pPr>
            <w:r>
              <w:rPr>
                <w:color w:val="231F20"/>
                <w:spacing w:val="-11"/>
              </w:rPr>
              <w:t>14.07</w:t>
            </w:r>
          </w:p>
        </w:tc>
        <w:tc>
          <w:tcPr>
            <w:tcW w:w="879" w:type="dxa"/>
            <w:vAlign w:val="top"/>
          </w:tcPr>
          <w:p>
            <w:pPr>
              <w:pStyle w:val="TableText"/>
              <w:ind w:left="146"/>
              <w:spacing w:before="85" w:line="209" w:lineRule="auto"/>
              <w:rPr/>
            </w:pPr>
            <w:r>
              <w:rPr>
                <w:color w:val="231F20"/>
                <w:spacing w:val="-11"/>
              </w:rPr>
              <w:t>15302.46</w:t>
            </w:r>
          </w:p>
        </w:tc>
        <w:tc>
          <w:tcPr>
            <w:tcW w:w="653" w:type="dxa"/>
            <w:vAlign w:val="top"/>
          </w:tcPr>
          <w:p>
            <w:pPr>
              <w:pStyle w:val="TableText"/>
              <w:ind w:left="255"/>
              <w:spacing w:before="85" w:line="209" w:lineRule="auto"/>
              <w:rPr/>
            </w:pPr>
            <w:r>
              <w:rPr>
                <w:color w:val="231F20"/>
                <w:spacing w:val="-8"/>
              </w:rPr>
              <w:t>9.52</w:t>
            </w:r>
          </w:p>
        </w:tc>
        <w:tc>
          <w:tcPr>
            <w:tcW w:w="878" w:type="dxa"/>
            <w:vAlign w:val="top"/>
          </w:tcPr>
          <w:p>
            <w:pPr>
              <w:pStyle w:val="TableText"/>
              <w:ind w:left="144"/>
              <w:spacing w:before="85" w:line="209" w:lineRule="auto"/>
              <w:rPr/>
            </w:pPr>
            <w:r>
              <w:rPr>
                <w:color w:val="231F20"/>
                <w:spacing w:val="-11"/>
              </w:rPr>
              <w:t>17349.51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173"/>
              <w:spacing w:before="85" w:line="209" w:lineRule="auto"/>
              <w:rPr/>
            </w:pPr>
            <w:r>
              <w:rPr>
                <w:color w:val="231F20"/>
                <w:spacing w:val="-9"/>
              </w:rPr>
              <w:t>3.34</w:t>
            </w:r>
          </w:p>
        </w:tc>
      </w:tr>
      <w:tr>
        <w:trPr>
          <w:trHeight w:val="484" w:hRule="atLeast"/>
        </w:trPr>
        <w:tc>
          <w:tcPr>
            <w:tcW w:w="185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4"/>
              <w:spacing w:before="248" w:line="225" w:lineRule="exact"/>
              <w:rPr/>
            </w:pPr>
            <w:r>
              <w:rPr>
                <w:color w:val="231F20"/>
                <w:spacing w:val="-2"/>
              </w:rPr>
              <w:t>资产总额</w:t>
            </w:r>
          </w:p>
        </w:tc>
        <w:tc>
          <w:tcPr>
            <w:tcW w:w="98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81"/>
              <w:spacing w:before="246" w:line="158" w:lineRule="auto"/>
              <w:rPr/>
            </w:pPr>
            <w:r>
              <w:rPr>
                <w:color w:val="231F20"/>
                <w:spacing w:val="-11"/>
              </w:rPr>
              <w:t>183308.92</w:t>
            </w:r>
          </w:p>
        </w:tc>
        <w:tc>
          <w:tcPr>
            <w:tcW w:w="61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05"/>
              <w:spacing w:before="246" w:line="158" w:lineRule="auto"/>
              <w:rPr/>
            </w:pPr>
            <w:r>
              <w:rPr>
                <w:color w:val="231F20"/>
                <w:spacing w:val="-8"/>
              </w:rPr>
              <w:t>9.45</w:t>
            </w:r>
          </w:p>
        </w:tc>
        <w:tc>
          <w:tcPr>
            <w:tcW w:w="86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3"/>
              <w:spacing w:before="246" w:line="158" w:lineRule="auto"/>
              <w:rPr/>
            </w:pPr>
            <w:r>
              <w:rPr>
                <w:color w:val="231F20"/>
                <w:spacing w:val="-10"/>
              </w:rPr>
              <w:t>205644.92</w:t>
            </w:r>
          </w:p>
        </w:tc>
        <w:tc>
          <w:tcPr>
            <w:tcW w:w="65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80"/>
              <w:spacing w:before="246" w:line="158" w:lineRule="auto"/>
              <w:rPr/>
            </w:pPr>
            <w:r>
              <w:rPr>
                <w:color w:val="231F20"/>
                <w:spacing w:val="-11"/>
              </w:rPr>
              <w:t>12.18</w:t>
            </w:r>
          </w:p>
        </w:tc>
        <w:tc>
          <w:tcPr>
            <w:tcW w:w="873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7"/>
              <w:spacing w:before="246" w:line="158" w:lineRule="auto"/>
              <w:rPr/>
            </w:pPr>
            <w:r>
              <w:rPr>
                <w:color w:val="231F20"/>
                <w:spacing w:val="-10"/>
              </w:rPr>
              <w:t>232984.30</w:t>
            </w:r>
          </w:p>
        </w:tc>
        <w:tc>
          <w:tcPr>
            <w:tcW w:w="61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29"/>
              <w:spacing w:before="246" w:line="158" w:lineRule="auto"/>
              <w:rPr/>
            </w:pPr>
            <w:r>
              <w:rPr>
                <w:color w:val="231F20"/>
                <w:spacing w:val="-11"/>
              </w:rPr>
              <w:t>13.29</w:t>
            </w:r>
          </w:p>
        </w:tc>
        <w:tc>
          <w:tcPr>
            <w:tcW w:w="85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3"/>
              <w:spacing w:before="246" w:line="158" w:lineRule="auto"/>
              <w:rPr/>
            </w:pPr>
            <w:r>
              <w:rPr>
                <w:color w:val="231F20"/>
                <w:spacing w:val="-10"/>
              </w:rPr>
              <w:t>248874.05</w:t>
            </w:r>
          </w:p>
        </w:tc>
        <w:tc>
          <w:tcPr>
            <w:tcW w:w="616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06"/>
              <w:spacing w:before="246" w:line="158" w:lineRule="auto"/>
              <w:rPr/>
            </w:pPr>
            <w:r>
              <w:rPr>
                <w:color w:val="231F20"/>
                <w:spacing w:val="-8"/>
              </w:rPr>
              <w:t>6.82</w:t>
            </w:r>
          </w:p>
        </w:tc>
        <w:tc>
          <w:tcPr>
            <w:tcW w:w="86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43"/>
              <w:spacing w:before="246" w:line="158" w:lineRule="auto"/>
              <w:rPr/>
            </w:pPr>
            <w:r>
              <w:rPr>
                <w:color w:val="231F20"/>
                <w:spacing w:val="-10"/>
              </w:rPr>
              <w:t>271467.47</w:t>
            </w:r>
          </w:p>
        </w:tc>
        <w:tc>
          <w:tcPr>
            <w:tcW w:w="65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56"/>
              <w:spacing w:before="246" w:line="158" w:lineRule="auto"/>
              <w:rPr/>
            </w:pPr>
            <w:r>
              <w:rPr>
                <w:color w:val="231F20"/>
                <w:spacing w:val="-8"/>
              </w:rPr>
              <w:t>9.08</w:t>
            </w:r>
          </w:p>
        </w:tc>
        <w:tc>
          <w:tcPr>
            <w:tcW w:w="87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7"/>
              <w:spacing w:before="246" w:line="158" w:lineRule="auto"/>
              <w:rPr/>
            </w:pPr>
            <w:r>
              <w:rPr>
                <w:color w:val="231F20"/>
                <w:spacing w:val="-10"/>
              </w:rPr>
              <w:t>299573.15</w:t>
            </w:r>
          </w:p>
        </w:tc>
        <w:tc>
          <w:tcPr>
            <w:tcW w:w="653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81"/>
              <w:spacing w:before="246" w:line="158" w:lineRule="auto"/>
              <w:rPr/>
            </w:pPr>
            <w:r>
              <w:rPr>
                <w:color w:val="231F20"/>
                <w:spacing w:val="-11"/>
              </w:rPr>
              <w:t>10.35</w:t>
            </w:r>
          </w:p>
        </w:tc>
        <w:tc>
          <w:tcPr>
            <w:tcW w:w="87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9"/>
              <w:spacing w:before="246" w:line="158" w:lineRule="auto"/>
              <w:rPr/>
            </w:pPr>
            <w:r>
              <w:rPr>
                <w:color w:val="231F20"/>
                <w:spacing w:val="-10"/>
              </w:rPr>
              <w:t>359058.49</w:t>
            </w:r>
          </w:p>
        </w:tc>
        <w:tc>
          <w:tcPr>
            <w:tcW w:w="59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95"/>
              <w:spacing w:before="246" w:line="158" w:lineRule="auto"/>
              <w:rPr/>
            </w:pPr>
            <w:r>
              <w:rPr>
                <w:color w:val="231F20"/>
                <w:spacing w:val="-11"/>
              </w:rPr>
              <w:t>13.93</w:t>
            </w:r>
          </w:p>
        </w:tc>
      </w:tr>
    </w:tbl>
    <w:p>
      <w:pPr>
        <w:pStyle w:val="BodyText"/>
        <w:ind w:left="352"/>
        <w:spacing w:before="109"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注：①</w:t>
      </w:r>
      <w:r>
        <w:rPr>
          <w:sz w:val="18"/>
          <w:szCs w:val="18"/>
          <w:color w:val="231F20"/>
          <w:spacing w:val="18"/>
        </w:rPr>
        <w:t xml:space="preserve"> </w:t>
      </w:r>
      <w:r>
        <w:rPr>
          <w:sz w:val="18"/>
          <w:szCs w:val="18"/>
          <w:color w:val="231F20"/>
          <w:spacing w:val="-2"/>
        </w:rPr>
        <w:t>保费收入、赔款给付、营业费用为年度数据。</w:t>
      </w:r>
    </w:p>
    <w:p>
      <w:pPr>
        <w:pStyle w:val="BodyText"/>
        <w:ind w:left="703"/>
        <w:spacing w:before="1"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②</w:t>
      </w:r>
      <w:r>
        <w:rPr>
          <w:sz w:val="18"/>
          <w:szCs w:val="18"/>
          <w:color w:val="231F20"/>
          <w:spacing w:val="19"/>
          <w:w w:val="101"/>
        </w:rPr>
        <w:t xml:space="preserve"> </w:t>
      </w:r>
      <w:r>
        <w:rPr>
          <w:sz w:val="18"/>
          <w:szCs w:val="18"/>
          <w:color w:val="231F20"/>
          <w:spacing w:val="-2"/>
        </w:rPr>
        <w:t>银行存款、投资、资产总额为年底数据。</w:t>
      </w:r>
    </w:p>
    <w:p>
      <w:pPr>
        <w:pStyle w:val="BodyText"/>
        <w:ind w:left="703"/>
        <w:spacing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③</w:t>
      </w:r>
      <w:r>
        <w:rPr>
          <w:sz w:val="18"/>
          <w:szCs w:val="18"/>
          <w:color w:val="231F20"/>
          <w:spacing w:val="55"/>
          <w:w w:val="101"/>
        </w:rPr>
        <w:t xml:space="preserve"> </w:t>
      </w:r>
      <w:r>
        <w:rPr>
          <w:sz w:val="18"/>
          <w:szCs w:val="18"/>
          <w:color w:val="231F20"/>
          <w:spacing w:val="-2"/>
        </w:rPr>
        <w:t>因部分机构处于风险处置阶段，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2021</w:t>
      </w:r>
      <w:r>
        <w:rPr>
          <w:sz w:val="18"/>
          <w:szCs w:val="18"/>
          <w:color w:val="231F20"/>
          <w:spacing w:val="-2"/>
        </w:rPr>
        <w:t>年至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2023</w:t>
      </w:r>
      <w:r>
        <w:rPr>
          <w:sz w:val="18"/>
          <w:szCs w:val="18"/>
          <w:color w:val="231F20"/>
          <w:spacing w:val="-2"/>
        </w:rPr>
        <w:t>年数据不包含这部分机构。</w:t>
      </w:r>
    </w:p>
    <w:p>
      <w:pPr>
        <w:pStyle w:val="BodyText"/>
        <w:ind w:left="703"/>
        <w:spacing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1"/>
        </w:rPr>
        <w:t>④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2024</w:t>
      </w:r>
      <w:r>
        <w:rPr>
          <w:sz w:val="18"/>
          <w:szCs w:val="18"/>
          <w:color w:val="231F20"/>
          <w:spacing w:val="-1"/>
        </w:rPr>
        <w:t>年同比数据按可比口径计算。</w:t>
      </w:r>
    </w:p>
    <w:p>
      <w:pPr>
        <w:pStyle w:val="BodyText"/>
        <w:ind w:left="354"/>
        <w:spacing w:line="212" w:lineRule="exact"/>
        <w:rPr>
          <w:sz w:val="18"/>
          <w:szCs w:val="18"/>
        </w:rPr>
      </w:pPr>
      <w:r>
        <w:rPr>
          <w:sz w:val="18"/>
          <w:szCs w:val="18"/>
          <w:color w:val="231F20"/>
          <w:spacing w:val="-3"/>
          <w:position w:val="-1"/>
        </w:rPr>
        <w:t>数据来源：金融监管总局。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BodyText"/>
        <w:spacing w:line="24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69280" behindDoc="0" locked="0" layoutInCell="1" allowOverlap="1">
                <wp:simplePos x="0" y="0"/>
                <wp:positionH relativeFrom="column">
                  <wp:posOffset>205200</wp:posOffset>
                </wp:positionH>
                <wp:positionV relativeFrom="paragraph">
                  <wp:posOffset>79658</wp:posOffset>
                </wp:positionV>
                <wp:extent cx="288290" cy="216534"/>
                <wp:effectExtent l="0" t="0" r="0" b="0"/>
                <wp:wrapNone/>
                <wp:docPr id="778" name="TextBox 778"/>
                <wp:cNvGraphicFramePr/>
                <a:graphic>
                  <a:graphicData uri="http://schemas.microsoft.com/office/word/2010/wordprocessingShape">
                    <wps:wsp>
                      <wps:cNvPr id="778" name="TextBox 778"/>
                      <wps:cNvSpPr txBox="1"/>
                      <wps:spPr>
                        <a:xfrm rot="5400000">
                          <a:off x="205200" y="79658"/>
                          <a:ext cx="288290" cy="216534"/>
                        </a:xfrm>
                        <a:prstGeom prst="rect">
                          <a:avLst/>
                        </a:prstGeom>
                        <a:solidFill>
                          <a:srgbClr val="174B8B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77"/>
                              <w:spacing w:before="90" w:line="197" w:lineRule="auto"/>
                              <w:rPr>
                                <w:rFonts w:ascii="DejaVu Sans" w:hAnsi="DejaVu Sans" w:eastAsia="DejaVu Sans" w:cs="DejaVu San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DejaVu Sans" w:hAnsi="DejaVu Sans" w:eastAsia="DejaVu Sans" w:cs="DejaVu Sans"/>
                                <w:sz w:val="21"/>
                                <w:szCs w:val="21"/>
                                <w:color w:val="FFFFFF"/>
                                <w:spacing w:val="-18"/>
                              </w:rPr>
                              <w:t>106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0" style="position:absolute;margin-left:16.1575pt;margin-top:6.27234pt;mso-position-vertical-relative:text;mso-position-horizontal-relative:text;width:22.7pt;height:17.05pt;z-index:252769280;rotation:90;" fillcolor="#174B8B" filled="true" stroked="false" type="#_x0000_t202">
                <v:fill on="tru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77"/>
                        <w:spacing w:before="90" w:line="197" w:lineRule="auto"/>
                        <w:rPr>
                          <w:rFonts w:ascii="DejaVu Sans" w:hAnsi="DejaVu Sans" w:eastAsia="DejaVu Sans" w:cs="DejaVu Sans"/>
                          <w:sz w:val="21"/>
                          <w:szCs w:val="21"/>
                        </w:rPr>
                      </w:pPr>
                      <w:r>
                        <w:rPr>
                          <w:rFonts w:ascii="DejaVu Sans" w:hAnsi="DejaVu Sans" w:eastAsia="DejaVu Sans" w:cs="DejaVu Sans"/>
                          <w:sz w:val="21"/>
                          <w:szCs w:val="21"/>
                          <w:color w:val="FFFFFF"/>
                          <w:spacing w:val="-18"/>
                        </w:rPr>
                        <w:t>106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22" style="position:absolute;margin-left:19.2413pt;margin-top:3.6875pt;mso-position-vertical-relative:text;mso-position-horizontal-relative:text;width:0.5pt;height:439.4pt;z-index:252770304;" filled="false" strokecolor="#174B8B" strokeweight="0.50pt" coordsize="10,8788" coordorigin="0,0" path="m4,0l4,8787e">
            <v:stroke joinstyle="miter" miterlimit="4"/>
          </v:shape>
        </w:pict>
      </w: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firstLine="473"/>
        <w:spacing w:line="273" w:lineRule="exact"/>
        <w:rPr/>
      </w:pPr>
      <w:r>
        <w:rPr>
          <w:position w:val="-5"/>
        </w:rPr>
        <w:drawing>
          <wp:inline distT="0" distB="0" distL="0" distR="0">
            <wp:extent cx="150076" cy="173266"/>
            <wp:effectExtent l="0" t="0" r="0" b="0"/>
            <wp:docPr id="780" name="IM 780"/>
            <wp:cNvGraphicFramePr/>
            <a:graphic>
              <a:graphicData uri="http://schemas.openxmlformats.org/drawingml/2006/picture">
                <pic:pic>
                  <pic:nvPicPr>
                    <pic:cNvPr id="780" name="IM 780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0076" cy="17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="377" w:lineRule="auto"/>
        <w:rPr/>
      </w:pPr>
      <w:r>
        <w:drawing>
          <wp:anchor distT="0" distB="0" distL="0" distR="0" simplePos="0" relativeHeight="252775424" behindDoc="0" locked="0" layoutInCell="1" allowOverlap="1">
            <wp:simplePos x="0" y="0"/>
            <wp:positionH relativeFrom="column">
              <wp:posOffset>309394</wp:posOffset>
            </wp:positionH>
            <wp:positionV relativeFrom="paragraph">
              <wp:posOffset>17900</wp:posOffset>
            </wp:positionV>
            <wp:extent cx="35217" cy="92255"/>
            <wp:effectExtent l="0" t="0" r="0" b="0"/>
            <wp:wrapNone/>
            <wp:docPr id="782" name="IM 782"/>
            <wp:cNvGraphicFramePr/>
            <a:graphic>
              <a:graphicData uri="http://schemas.openxmlformats.org/drawingml/2006/picture">
                <pic:pic>
                  <pic:nvPicPr>
                    <pic:cNvPr id="782" name="IM 782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17" cy="92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773376" behindDoc="0" locked="0" layoutInCell="1" allowOverlap="1">
            <wp:simplePos x="0" y="0"/>
            <wp:positionH relativeFrom="column">
              <wp:posOffset>309397</wp:posOffset>
            </wp:positionH>
            <wp:positionV relativeFrom="paragraph">
              <wp:posOffset>115186</wp:posOffset>
            </wp:positionV>
            <wp:extent cx="35204" cy="286207"/>
            <wp:effectExtent l="0" t="0" r="0" b="0"/>
            <wp:wrapNone/>
            <wp:docPr id="784" name="IM 784"/>
            <wp:cNvGraphicFramePr/>
            <a:graphic>
              <a:graphicData uri="http://schemas.openxmlformats.org/drawingml/2006/picture">
                <pic:pic>
                  <pic:nvPicPr>
                    <pic:cNvPr id="784" name="IM 78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204" cy="286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224" style="position:absolute;margin-left:28.9438pt;margin-top:1.27301pt;mso-position-vertical-relative:text;mso-position-horizontal-relative:text;width:6.3pt;height:32.5pt;z-index:252771328;" fillcolor="#174B8B" filled="true" stroked="false" coordsize="126,650" coordorigin="0,0" path="m55,53l55,85l88,85l88,53l55,53xm55,11l55,42l88,42l88,11l55,11xm96,42c105,42,114,42,123,42l123,54c115,53,106,53,96,53l96,97c89,97,80,96,67,96c55,96,45,97,38,97l38,86l47,86l47,53l23,53c18,53,11,53,2,54l2,41c10,42,17,42,23,42l47,42l47,11l37,11l37,0c44,0,54,0,67,0c80,0,90,0,96,0l96,42xem115,132l115,238c106,237,97,237,87,237l33,237c22,237,12,237,2,238l2,228l9,228l9,142l1,142l1,132c12,133,22,133,33,133l87,133c97,133,106,133,115,132m16,142l16,228l108,228l108,142l16,142xm94,154c93,159,93,165,93,172l93,201c93,206,93,212,94,217l85,217c86,212,86,206,86,201l86,189l69,189l69,198c69,204,69,209,69,215l61,215c61,209,61,204,61,198l61,189l38,189l38,202c38,208,38,214,39,220l30,220c31,215,31,209,31,202l31,168c31,162,31,157,30,151l39,151c38,157,38,162,38,168l38,179l61,179l61,172c61,166,61,161,61,156l69,156c69,161,69,166,69,172l69,179l86,179l86,172c86,165,86,159,85,154l94,154xm52,195c54,198,56,200,57,203c56,204,52,207,47,212c45,209,43,206,41,204c43,203,46,200,52,195em35,283c36,287,38,290,40,293c32,297,27,300,23,302c21,299,20,295,18,292c21,291,27,288,35,283m111,316c104,312,98,307,94,303c89,298,84,293,79,287c79,293,78,298,78,302l78,333c79,338,79,344,79,351c85,342,90,335,95,330c100,325,105,320,111,316m125,311c124,314,122,318,120,324l117,321c111,326,106,331,101,337c97,343,92,350,89,358c85,367,82,374,81,381c77,378,73,375,69,374c72,366,75,359,78,352l69,352c70,345,70,339,70,335l70,323l52,323l52,341c53,347,53,354,53,361l43,361c44,354,44,347,44,341l44,323l15,323l15,334c27,338,36,341,41,342c40,344,38,348,36,355c32,352,25,348,15,343c15,354,15,363,15,370l6,370c6,363,6,356,6,350l6,288c6,281,6,274,6,268l15,268c15,275,15,281,15,288l15,313l44,313l44,296c44,291,44,285,43,278l53,278c53,285,52,290,52,295l52,313l70,313c70,302,70,293,69,286l78,286c74,279,70,273,66,268c69,266,72,263,75,260c77,264,80,269,83,275c87,280,92,286,97,292c103,297,112,304,125,311em21,502c25,501,29,500,33,498c34,501,35,504,37,507c32,509,27,510,23,512c19,513,13,515,5,517c4,514,3,511,2,507c7,506,11,505,14,504c12,495,10,487,8,481c7,474,5,468,2,461c6,460,10,459,13,457c13,462,14,470,16,480l50,480l50,470l39,470l39,461c49,461,60,461,70,461c80,461,89,461,96,461l96,480c110,480,119,480,123,480l123,490c118,490,109,489,96,489l96,509c87,509,79,509,70,509c62,509,53,509,46,509l46,500l50,500l50,489l18,489c19,493,20,497,21,502m58,489l58,500l88,500l88,489l58,489xm58,470l58,480l88,480l88,470l58,470xm50,431c48,434,47,436,47,440c44,437,39,435,33,433l33,440l25,440l25,429l9,429l9,421l25,421l25,413l33,413l33,426c40,429,45,430,50,431m50,419c46,420,42,422,38,424c37,422,37,419,36,417c39,416,43,414,47,413c48,415,49,417,50,419m2,437c6,436,9,435,12,433c12,438,12,441,12,442c13,443,14,443,16,443l53,443l53,409l0,409l0,399c8,399,15,399,21,399l41,399c47,399,54,399,61,399l61,453c55,452,49,452,42,452l12,452c8,452,5,451,5,448c4,446,3,442,2,437m96,450c92,449,87,449,83,449c79,449,74,449,69,450l69,405c74,405,79,405,83,405c87,405,92,405,96,405l96,450xm77,414l77,440l88,440l88,414l77,414xm113,436c113,443,114,449,114,453l105,453c105,448,105,442,105,436l105,416c105,408,105,403,105,399l114,399c114,403,113,408,113,415l113,436xem32,588l32,599c28,599,23,598,18,598c12,598,9,599,9,601c9,603,9,606,9,610c9,615,9,618,9,619c9,620,13,621,20,622c18,625,16,628,15,632c7,630,2,627,2,624c1,622,0,616,0,609c0,601,0,596,1,593c2,590,5,589,9,589l22,589c26,589,29,589,32,588m31,630c32,633,34,636,36,638c27,643,19,647,13,649c12,646,11,644,9,641c13,639,21,635,31,630m35,605c36,608,36,611,37,614c31,616,26,617,22,618c22,616,21,613,20,609c25,608,30,607,35,605m33,573c32,576,31,579,31,583c29,581,24,580,18,578c12,577,7,576,4,575c5,571,6,568,6,566c11,568,16,569,20,570c24,571,28,572,33,573m102,594c99,592,94,589,90,586c89,590,89,595,89,601l89,612c94,614,98,616,102,618l102,594xm123,595c121,598,120,602,119,607c117,604,114,602,109,599l109,633c107,631,104,630,100,628c97,626,93,624,89,622l89,638c85,638,78,638,67,638c57,638,49,638,43,638l43,594c43,589,43,585,43,580l51,580c51,585,51,589,51,595l51,629l63,629l63,597c63,592,63,587,63,583l71,583c71,587,70,591,70,596l70,629l82,629l82,601c82,595,81,591,81,586l89,586c86,584,83,582,82,580c84,577,86,574,87,572c92,577,97,581,105,586c112,591,118,594,123,595m118,566c114,568,111,571,108,574c108,571,107,568,106,564c105,561,105,558,105,556l82,556c82,560,82,565,83,570l74,570c75,565,75,560,75,556l59,556c61,558,63,561,65,563c59,567,54,570,50,573c48,570,46,567,44,565c48,563,52,560,58,556l22,556c16,556,9,556,1,557l1,547c9,547,16,547,22,547l56,547c51,545,47,543,43,542c39,540,34,537,28,534c31,532,34,529,37,527c39,529,44,532,51,536c59,540,67,543,75,545c75,541,75,535,74,529l83,529c82,535,82,541,82,547l103,547c102,544,101,539,100,534c103,533,106,531,109,529c110,535,111,541,112,548c114,555,116,561,118,566e"/>
        </w:pict>
      </w:r>
      <w:r/>
    </w:p>
    <w:p>
      <w:pPr>
        <w:ind w:firstLine="487"/>
        <w:spacing w:line="151" w:lineRule="exact"/>
        <w:rPr/>
      </w:pPr>
      <w:r>
        <w:pict>
          <v:shape id="_x0000_s226" style="position:absolute;margin-left:29.0497pt;margin-top:2.87404pt;mso-position-vertical-relative:text;mso-position-horizontal-relative:text;width:6.1pt;height:6pt;z-index:252774400;" fillcolor="#174B8B" filled="true" stroked="false" coordsize="122,120" coordorigin="0,0" path="m121,65c119,66,114,69,107,72c106,69,104,65,103,63l103,117c99,116,95,116,91,116c88,116,84,116,80,117l80,106l94,106l94,16l78,16l78,6c82,6,86,6,90,6c94,6,99,6,103,6l103,60c107,59,112,57,117,54c118,58,120,61,121,65m77,23c76,29,76,35,76,42l76,79c76,87,76,93,77,100l67,100c68,93,68,87,68,79l68,67l48,67l48,90c48,95,48,101,48,108l39,108c39,101,39,95,39,89l39,67l13,67c11,82,11,99,13,119c9,117,5,115,1,115c1,101,1,89,2,80c2,71,3,64,5,58c7,51,9,46,13,41c16,37,21,32,26,28c21,25,16,22,12,19c7,17,3,14,0,11c3,7,5,3,6,0c14,9,23,15,33,19c43,23,51,26,56,26c54,30,53,35,52,40c49,38,47,36,44,35c42,34,39,33,35,32c31,35,27,38,24,42c20,46,17,51,15,58l68,58l68,42c68,35,68,29,67,23l77,23xe"/>
        </w:pict>
      </w:r>
      <w:r>
        <w:rPr>
          <w:position w:val="-3"/>
        </w:rPr>
        <w:drawing>
          <wp:inline distT="0" distB="0" distL="0" distR="0">
            <wp:extent cx="34595" cy="95841"/>
            <wp:effectExtent l="0" t="0" r="0" b="0"/>
            <wp:docPr id="786" name="IM 786"/>
            <wp:cNvGraphicFramePr/>
            <a:graphic>
              <a:graphicData uri="http://schemas.openxmlformats.org/drawingml/2006/picture">
                <pic:pic>
                  <pic:nvPicPr>
                    <pic:cNvPr id="786" name="IM 786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595" cy="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72"/>
        <w:spacing w:before="1" w:line="36" w:lineRule="exact"/>
        <w:rPr>
          <w:rFonts w:ascii="DejaVu Sans" w:hAnsi="DejaVu Sans" w:eastAsia="DejaVu Sans" w:cs="DejaVu Sans"/>
          <w:sz w:val="6"/>
          <w:szCs w:val="6"/>
        </w:rPr>
      </w:pPr>
      <w:r>
        <w:pict>
          <v:shape id="_x0000_s228" style="position:absolute;margin-left:28.9443pt;margin-top:1.93659pt;mso-position-vertical-relative:text;mso-position-horizontal-relative:text;width:6.15pt;height:12.9pt;z-index:252772352;" fillcolor="#174B8B" filled="true" stroked="false" coordsize="123,258" coordorigin="0,0" path="m93,3c93,8,93,15,93,24c104,24,114,24,122,23l122,34c116,34,106,34,93,34c93,39,93,45,93,50l83,50c83,43,83,38,83,34l64,34c65,40,67,45,69,50c66,49,62,49,58,50c57,44,55,39,54,34l15,34c10,34,7,33,5,30c4,27,2,22,1,14c5,13,10,11,13,9c13,15,13,19,13,21c14,23,16,24,20,24l50,24c47,13,44,7,43,5c47,3,51,1,55,0c56,6,58,14,60,24l83,24c83,16,83,9,83,3l93,3xm115,57l115,112c106,111,99,110,94,109c88,108,85,106,84,104c82,101,81,95,80,86c85,85,89,84,92,82c91,91,92,95,93,97c95,98,99,99,105,100l105,68l73,68l73,114c68,113,62,112,52,109c43,107,34,103,27,99c21,105,16,113,13,122c10,118,6,115,2,113c10,103,15,97,19,93c14,89,8,84,2,77c6,75,9,72,12,69c15,75,20,81,26,86c37,81,49,77,63,74l63,84c50,86,41,89,36,93c43,97,52,100,63,102l63,68l1,68l1,57c10,57,19,57,28,58l90,58c99,58,107,58,115,57em100,229c100,236,100,241,100,244l91,244c91,241,91,237,91,230l91,203l72,203l72,240c72,248,72,254,72,257l63,257c63,254,63,249,63,241l63,154c63,149,63,144,63,138l72,138c72,145,72,151,72,155l72,193l91,193l91,166c86,163,82,160,79,158c81,156,82,153,84,148c88,152,94,155,100,159c106,162,113,164,120,166c118,172,116,176,115,178c114,176,109,174,100,170l100,193l108,193c115,193,120,193,122,192l122,204c120,204,115,203,109,203l100,203l100,229xm19,167l19,227l42,227l42,167l19,167xm51,238c47,237,40,237,29,237c19,237,10,237,3,238l3,227l10,227l10,167l0,167l0,157c5,157,14,157,25,157c36,157,45,157,51,157l51,238xe"/>
        </w:pict>
      </w:r>
      <w:r>
        <w:rPr>
          <w:rFonts w:ascii="DejaVu Sans" w:hAnsi="DejaVu Sans" w:eastAsia="DejaVu Sans" w:cs="DejaVu Sans"/>
          <w:sz w:val="6"/>
          <w:szCs w:val="6"/>
          <w:color w:val="174B8B"/>
          <w:spacing w:val="4"/>
          <w:position w:val="-1"/>
        </w:rPr>
        <w:t>&lt;</w:t>
      </w:r>
    </w:p>
    <w:p>
      <w:pPr>
        <w:pStyle w:val="BodyText"/>
        <w:ind w:left="488"/>
        <w:spacing w:before="27" w:line="47" w:lineRule="exact"/>
        <w:rPr>
          <w:sz w:val="5"/>
          <w:szCs w:val="5"/>
        </w:rPr>
      </w:pPr>
      <w:r>
        <w:rPr>
          <w:sz w:val="5"/>
          <w:szCs w:val="5"/>
          <w:color w:val="174B8B"/>
          <w:spacing w:val="3"/>
        </w:rPr>
        <w:t>刀</w:t>
      </w:r>
    </w:p>
    <w:p>
      <w:pPr>
        <w:ind w:firstLine="473"/>
        <w:spacing w:before="4" w:line="167" w:lineRule="exact"/>
        <w:rPr/>
      </w:pPr>
      <w:r>
        <w:rPr>
          <w:position w:val="-3"/>
        </w:rPr>
        <w:drawing>
          <wp:inline distT="0" distB="0" distL="0" distR="0">
            <wp:extent cx="42793" cy="106368"/>
            <wp:effectExtent l="0" t="0" r="0" b="0"/>
            <wp:docPr id="788" name="IM 788"/>
            <wp:cNvGraphicFramePr/>
            <a:graphic>
              <a:graphicData uri="http://schemas.openxmlformats.org/drawingml/2006/picture">
                <pic:pic>
                  <pic:nvPicPr>
                    <pic:cNvPr id="788" name="IM 788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793" cy="1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20"/>
        <w:spacing w:before="42" w:line="86" w:lineRule="exact"/>
        <w:rPr/>
      </w:pPr>
      <w:r>
        <w:rPr>
          <w:position w:val="-1"/>
        </w:rPr>
        <w:drawing>
          <wp:inline distT="0" distB="0" distL="0" distR="0">
            <wp:extent cx="101523" cy="54533"/>
            <wp:effectExtent l="0" t="0" r="0" b="0"/>
            <wp:docPr id="790" name="IM 790"/>
            <wp:cNvGraphicFramePr/>
            <a:graphic>
              <a:graphicData uri="http://schemas.openxmlformats.org/drawingml/2006/picture">
                <pic:pic>
                  <pic:nvPicPr>
                    <pic:cNvPr id="790" name="IM 790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523" cy="5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6"/>
        <w:spacing w:before="20" w:line="90" w:lineRule="exact"/>
        <w:rPr/>
      </w:pPr>
      <w:r>
        <w:rPr>
          <w:position w:val="-1"/>
        </w:rPr>
        <w:drawing>
          <wp:inline distT="0" distB="0" distL="0" distR="0">
            <wp:extent cx="104153" cy="57391"/>
            <wp:effectExtent l="0" t="0" r="0" b="0"/>
            <wp:docPr id="792" name="IM 792"/>
            <wp:cNvGraphicFramePr/>
            <a:graphic>
              <a:graphicData uri="http://schemas.openxmlformats.org/drawingml/2006/picture">
                <pic:pic>
                  <pic:nvPicPr>
                    <pic:cNvPr id="792" name="IM 792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153" cy="5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17"/>
        <w:spacing w:before="18" w:line="192" w:lineRule="exact"/>
        <w:rPr/>
      </w:pPr>
      <w:r>
        <w:rPr>
          <w:position w:val="-3"/>
        </w:rPr>
        <w:drawing>
          <wp:inline distT="0" distB="0" distL="0" distR="0">
            <wp:extent cx="103448" cy="122092"/>
            <wp:effectExtent l="0" t="0" r="0" b="0"/>
            <wp:docPr id="794" name="IM 794"/>
            <wp:cNvGraphicFramePr/>
            <a:graphic>
              <a:graphicData uri="http://schemas.openxmlformats.org/drawingml/2006/picture">
                <pic:pic>
                  <pic:nvPicPr>
                    <pic:cNvPr id="794" name="IM 794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448" cy="12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92" w:lineRule="exact"/>
        <w:sectPr>
          <w:type w:val="continuous"/>
          <w:pgSz w:w="16158" w:h="11906"/>
          <w:pgMar w:top="400" w:right="1077" w:bottom="400" w:left="1700" w:header="0" w:footer="0" w:gutter="0"/>
          <w:cols w:equalWidth="0" w:num="2">
            <w:col w:w="12560" w:space="100"/>
            <w:col w:w="720" w:space="0"/>
          </w:cols>
        </w:sectPr>
        <w:rPr/>
      </w:pPr>
    </w:p>
    <w:p>
      <w:pPr>
        <w:pStyle w:val="BodyText"/>
        <w:spacing w:line="350" w:lineRule="auto"/>
        <w:rPr/>
      </w:pPr>
      <w:r/>
    </w:p>
    <w:p>
      <w:pPr>
        <w:pStyle w:val="BodyText"/>
        <w:spacing w:line="350" w:lineRule="auto"/>
        <w:rPr/>
      </w:pPr>
      <w:r/>
    </w:p>
    <w:p>
      <w:pPr>
        <w:pStyle w:val="BodyText"/>
        <w:ind w:left="429"/>
        <w:spacing w:before="101" w:line="163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80544" behindDoc="0" locked="0" layoutInCell="1" allowOverlap="1">
                <wp:simplePos x="0" y="0"/>
                <wp:positionH relativeFrom="column">
                  <wp:posOffset>5622901</wp:posOffset>
                </wp:positionH>
                <wp:positionV relativeFrom="paragraph">
                  <wp:posOffset>2717913</wp:posOffset>
                </wp:positionV>
                <wp:extent cx="5561965" cy="277495"/>
                <wp:effectExtent l="0" t="0" r="0" b="0"/>
                <wp:wrapNone/>
                <wp:docPr id="796" name="TextBox 796"/>
                <wp:cNvGraphicFramePr/>
                <a:graphic>
                  <a:graphicData uri="http://schemas.microsoft.com/office/word/2010/wordprocessingShape">
                    <wps:wsp>
                      <wps:cNvPr id="796" name="TextBox 796"/>
                      <wps:cNvSpPr txBox="1"/>
                      <wps:spPr>
                        <a:xfrm rot="5400000">
                          <a:off x="5622901" y="2717913"/>
                          <a:ext cx="5561965" cy="2774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spacing w:before="116" w:line="178" w:lineRule="auto"/>
                              <w:jc w:val="right"/>
                              <w:rPr>
                                <w:rFonts w:ascii="DejaVu Sans" w:hAnsi="DejaVu Sans" w:eastAsia="DejaVu Sans" w:cs="DejaVu Sans"/>
                              </w:rPr>
                            </w:pPr>
                            <w:r>
                              <w:rPr>
                                <w:color w:val="231F20"/>
                                <w:spacing w:val="-12"/>
                              </w:rPr>
                              <w:t>附录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>统计资料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                           </w:t>
                            </w:r>
                            <w:r>
                              <w:rPr>
                                <w:color w:val="231F20"/>
                              </w:rPr>
                              <w:t xml:space="preserve">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DejaVu Sans" w:hAnsi="DejaVu Sans" w:eastAsia="DejaVu Sans" w:cs="DejaVu Sans"/>
                                <w:color w:val="FFFFFF"/>
                                <w:spacing w:val="-12"/>
                              </w:rPr>
                              <w:t>107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30" style="position:absolute;margin-left:442.748pt;margin-top:214.009pt;mso-position-vertical-relative:text;mso-position-horizontal-relative:text;width:437.95pt;height:21.85pt;z-index:252780544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spacing w:before="116" w:line="178" w:lineRule="auto"/>
                        <w:jc w:val="right"/>
                        <w:rPr>
                          <w:rFonts w:ascii="DejaVu Sans" w:hAnsi="DejaVu Sans" w:eastAsia="DejaVu Sans" w:cs="DejaVu Sans"/>
                        </w:rPr>
                      </w:pPr>
                      <w:r>
                        <w:rPr>
                          <w:color w:val="231F20"/>
                          <w:spacing w:val="-12"/>
                        </w:rPr>
                        <w:t>附录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   </w:t>
                      </w:r>
                      <w:r>
                        <w:rPr>
                          <w:color w:val="231F20"/>
                          <w:spacing w:val="-12"/>
                        </w:rPr>
                        <w:t>统计资料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                           </w:t>
                      </w:r>
                      <w:r>
                        <w:rPr>
                          <w:color w:val="231F20"/>
                        </w:rPr>
                        <w:t xml:space="preserve">                                                                                                                       </w:t>
                      </w:r>
                      <w:r>
                        <w:rPr>
                          <w:rFonts w:ascii="DejaVu Sans" w:hAnsi="DejaVu Sans" w:eastAsia="DejaVu Sans" w:cs="DejaVu Sans"/>
                          <w:color w:val="FFFFFF"/>
                          <w:spacing w:val="-12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32" style="position:absolute;margin-left:652.218pt;margin-top:6.33789pt;mso-position-vertical-relative:text;mso-position-horizontal-relative:text;width:0.5pt;height:439.4pt;z-index:252781568;" filled="false" strokecolor="#174B8B" strokeweight="0.50pt" coordsize="10,8788" coordorigin="0,0" path="m4,8787l4,0e">
            <v:stroke joinstyle="miter" miterlimit="4"/>
          </v:shape>
        </w:pict>
      </w:r>
      <w:r>
        <w:rPr>
          <w:color w:val="174B8B"/>
        </w:rPr>
        <w:t>附表 </w:t>
      </w:r>
      <w:r>
        <w:rPr>
          <w:rFonts w:ascii="Times New Roman" w:hAnsi="Times New Roman" w:eastAsia="Times New Roman" w:cs="Times New Roman"/>
          <w:b/>
          <w:bCs/>
          <w:color w:val="174B8B"/>
        </w:rPr>
        <w:t>21                                       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2020</w:t>
      </w:r>
      <w:r>
        <w:rPr>
          <w:color w:val="174B8B"/>
          <w:spacing w:val="-1"/>
        </w:rPr>
        <w:t>－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2024</w:t>
      </w:r>
      <w:r>
        <w:rPr>
          <w:color w:val="174B8B"/>
          <w:spacing w:val="-1"/>
        </w:rPr>
        <w:t>年全国非寿险保费收入构成</w:t>
      </w:r>
    </w:p>
    <w:p>
      <w:pPr>
        <w:pStyle w:val="BodyText"/>
        <w:ind w:left="10552"/>
        <w:spacing w:before="1" w:line="176" w:lineRule="auto"/>
        <w:rPr/>
      </w:pPr>
      <w:r>
        <w:rPr>
          <w:color w:val="231F20"/>
          <w:spacing w:val="-2"/>
        </w:rPr>
        <w:t>单位：亿元，%</w:t>
      </w:r>
    </w:p>
    <w:p>
      <w:pPr>
        <w:pStyle w:val="BodyText"/>
        <w:spacing w:before="81" w:line="2821" w:lineRule="exact"/>
        <w:rPr/>
      </w:pPr>
      <w:r>
        <w:rPr>
          <w:position w:val="-56"/>
        </w:rPr>
        <w:pict>
          <v:group id="_x0000_s234" style="mso-position-vertical-relative:line;mso-position-horizontal-relative:char;width:623.65pt;height:141.05pt;" filled="false" stroked="false" coordsize="12473,2821" coordorigin="0,0">
            <v:shape id="_x0000_s236" style="position:absolute;left:0;top:9;width:12473;height:2801;" filled="false" stroked="false" type="#_x0000_t75">
              <v:imagedata o:title="" r:id="rId410"/>
            </v:shape>
            <v:shape id="_x0000_s238" style="position:absolute;left:-19;top:-20;width:12513;height:2861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20" w:lineRule="exact"/>
                      <w:rPr/>
                    </w:pPr>
                    <w:r/>
                  </w:p>
                  <w:tbl>
                    <w:tblPr>
                      <w:tblStyle w:val="TableNormal"/>
                      <w:tblW w:w="12472" w:type="dxa"/>
                      <w:tblInd w:w="20" w:type="dxa"/>
                      <w:tblLayout w:type="fixed"/>
                      <w:tblBorders>
                        <w:top w:val="none" w:color="000000" w:sz="0" w:space="0"/>
                        <w:left w:val="none" w:color="000000" w:sz="0" w:space="0"/>
                        <w:bottom w:val="none" w:color="000000" w:sz="0" w:space="0"/>
                        <w:right w:val="none" w:color="000000" w:sz="0" w:space="0"/>
                        <w:insideH w:val="none" w:color="000000" w:sz="0" w:space="0"/>
                        <w:insideV w:val="none" w:color="000000" w:sz="0" w:space="0"/>
                      </w:tblBorders>
                    </w:tblPr>
                    <w:tblGrid>
                      <w:gridCol w:w="1139"/>
                      <w:gridCol w:w="1250"/>
                      <w:gridCol w:w="1083"/>
                      <w:gridCol w:w="1185"/>
                      <w:gridCol w:w="1083"/>
                      <w:gridCol w:w="1184"/>
                      <w:gridCol w:w="1083"/>
                      <w:gridCol w:w="1185"/>
                      <w:gridCol w:w="1083"/>
                      <w:gridCol w:w="1184"/>
                      <w:gridCol w:w="1013"/>
                    </w:tblGrid>
                    <w:tr>
                      <w:trPr>
                        <w:trHeight w:val="337" w:hRule="atLeast"/>
                      </w:trPr>
                      <w:tc>
                        <w:tcPr>
                          <w:tcW w:w="1139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400"/>
                            <w:spacing w:before="78" w:line="172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4"/>
                            </w:rPr>
                            <w:t>险种</w:t>
                          </w:r>
                        </w:p>
                      </w:tc>
                      <w:tc>
                        <w:tcPr>
                          <w:tcW w:w="1250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388"/>
                            <w:spacing w:before="74" w:line="175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2020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294"/>
                            <w:spacing w:before="78" w:line="172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占比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322"/>
                            <w:spacing w:before="74" w:line="175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2021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294"/>
                            <w:spacing w:before="78" w:line="172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占比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322"/>
                            <w:spacing w:before="74" w:line="175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2022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294"/>
                            <w:spacing w:before="78" w:line="172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占比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323"/>
                            <w:spacing w:before="74" w:line="175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2023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294"/>
                            <w:spacing w:before="78" w:line="172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占比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322"/>
                            <w:spacing w:before="74" w:line="175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2024</w:t>
                          </w:r>
                        </w:p>
                      </w:tc>
                      <w:tc>
                        <w:tcPr>
                          <w:tcW w:w="1013" w:type="dxa"/>
                          <w:vAlign w:val="top"/>
                          <w:tcBorders>
                            <w:bottom w:val="single" w:color="231F20" w:sz="4" w:space="0"/>
                            <w:top w:val="single" w:color="231F20" w:sz="8" w:space="0"/>
                          </w:tcBorders>
                        </w:tcPr>
                        <w:p>
                          <w:pPr>
                            <w:ind w:left="295"/>
                            <w:spacing w:before="78" w:line="172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占比</w:t>
                          </w:r>
                        </w:p>
                      </w:tc>
                    </w:tr>
                    <w:tr>
                      <w:trPr>
                        <w:trHeight w:val="337" w:hRule="atLeast"/>
                      </w:trPr>
                      <w:tc>
                        <w:tcPr>
                          <w:tcW w:w="1139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395"/>
                            <w:spacing w:before="81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3"/>
                            </w:rPr>
                            <w:t>车险</w:t>
                          </w:r>
                        </w:p>
                      </w:tc>
                      <w:tc>
                        <w:tcPr>
                          <w:tcW w:w="1250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385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0"/>
                            </w:rPr>
                            <w:t>8244.75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446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60.70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316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7772.68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446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56.83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320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0"/>
                            </w:rPr>
                            <w:t>8210.18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447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55.23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320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0"/>
                            </w:rPr>
                            <w:t>8672.60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446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54.66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318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9136.73</w:t>
                          </w:r>
                        </w:p>
                      </w:tc>
                      <w:tc>
                        <w:tcPr>
                          <w:tcW w:w="1013" w:type="dxa"/>
                          <w:vAlign w:val="top"/>
                          <w:tcBorders>
                            <w:top w:val="single" w:color="231F20" w:sz="4" w:space="0"/>
                          </w:tcBorders>
                        </w:tcPr>
                        <w:p>
                          <w:pPr>
                            <w:ind w:left="447"/>
                            <w:spacing w:before="77" w:line="173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54.04</w:t>
                          </w:r>
                        </w:p>
                      </w:tc>
                    </w:tr>
                    <w:tr>
                      <w:trPr>
                        <w:trHeight w:val="347" w:hRule="atLeast"/>
                      </w:trPr>
                      <w:tc>
                        <w:tcPr>
                          <w:tcW w:w="1139" w:type="dxa"/>
                          <w:vAlign w:val="top"/>
                        </w:tcPr>
                        <w:p>
                          <w:pPr>
                            <w:ind w:left="300"/>
                            <w:spacing w:before="94" w:line="168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"/>
                            </w:rPr>
                            <w:t>企财险</w:t>
                          </w:r>
                        </w:p>
                      </w:tc>
                      <w:tc>
                        <w:tcPr>
                          <w:tcW w:w="1250" w:type="dxa"/>
                          <w:vAlign w:val="top"/>
                        </w:tcPr>
                        <w:p>
                          <w:pPr>
                            <w:ind w:left="470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490.26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8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3.61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408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519.76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7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3.80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407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553.38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8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3.72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408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595.80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8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3.75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408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627.58</w:t>
                          </w:r>
                        </w:p>
                      </w:tc>
                      <w:tc>
                        <w:tcPr>
                          <w:tcW w:w="1013" w:type="dxa"/>
                          <w:vAlign w:val="top"/>
                        </w:tcPr>
                        <w:p>
                          <w:pPr>
                            <w:ind w:left="538"/>
                            <w:spacing w:before="90" w:line="171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3.71</w:t>
                          </w:r>
                        </w:p>
                      </w:tc>
                    </w:tr>
                    <w:tr>
                      <w:trPr>
                        <w:trHeight w:val="348" w:hRule="atLeast"/>
                      </w:trPr>
                      <w:tc>
                        <w:tcPr>
                          <w:tcW w:w="1139" w:type="dxa"/>
                          <w:vAlign w:val="top"/>
                        </w:tcPr>
                        <w:p>
                          <w:pPr>
                            <w:ind w:left="299"/>
                            <w:spacing w:before="97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"/>
                            </w:rPr>
                            <w:t>货运险</w:t>
                          </w:r>
                        </w:p>
                      </w:tc>
                      <w:tc>
                        <w:tcPr>
                          <w:tcW w:w="1250" w:type="dxa"/>
                          <w:vAlign w:val="top"/>
                        </w:tcPr>
                        <w:p>
                          <w:pPr>
                            <w:ind w:left="487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135.96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49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1.00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422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167.72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49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1.23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421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177.93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50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1.20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407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226.49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50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1.43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407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286.77</w:t>
                          </w:r>
                        </w:p>
                      </w:tc>
                      <w:tc>
                        <w:tcPr>
                          <w:tcW w:w="1013" w:type="dxa"/>
                          <w:vAlign w:val="top"/>
                        </w:tcPr>
                        <w:p>
                          <w:pPr>
                            <w:ind w:left="550"/>
                            <w:spacing w:before="94" w:line="169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1.70</w:t>
                          </w:r>
                        </w:p>
                      </w:tc>
                    </w:tr>
                    <w:tr>
                      <w:trPr>
                        <w:trHeight w:val="347" w:hRule="atLeast"/>
                      </w:trPr>
                      <w:tc>
                        <w:tcPr>
                          <w:tcW w:w="1139" w:type="dxa"/>
                          <w:vAlign w:val="top"/>
                        </w:tcPr>
                        <w:p>
                          <w:pPr>
                            <w:ind w:left="303"/>
                            <w:spacing w:before="100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2"/>
                            </w:rPr>
                            <w:t>意外险</w:t>
                          </w:r>
                        </w:p>
                      </w:tc>
                      <w:tc>
                        <w:tcPr>
                          <w:tcW w:w="1250" w:type="dxa"/>
                          <w:vAlign w:val="top"/>
                        </w:tcPr>
                        <w:p>
                          <w:pPr>
                            <w:ind w:left="473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540.90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8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3.98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408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627.30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2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4.59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407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574.06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8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3.86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408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509.12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8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3.21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408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533.78</w:t>
                          </w:r>
                        </w:p>
                      </w:tc>
                      <w:tc>
                        <w:tcPr>
                          <w:tcW w:w="1013" w:type="dxa"/>
                          <w:vAlign w:val="top"/>
                        </w:tcPr>
                        <w:p>
                          <w:pPr>
                            <w:ind w:left="538"/>
                            <w:spacing w:before="96" w:line="167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3.16</w:t>
                          </w:r>
                        </w:p>
                      </w:tc>
                    </w:tr>
                    <w:tr>
                      <w:trPr>
                        <w:trHeight w:val="348" w:hRule="atLeast"/>
                      </w:trPr>
                      <w:tc>
                        <w:tcPr>
                          <w:tcW w:w="1139" w:type="dxa"/>
                          <w:vAlign w:val="top"/>
                        </w:tcPr>
                        <w:p>
                          <w:pPr>
                            <w:ind w:left="303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2"/>
                            </w:rPr>
                            <w:t>责任险</w:t>
                          </w:r>
                        </w:p>
                      </w:tc>
                      <w:tc>
                        <w:tcPr>
                          <w:tcW w:w="1250" w:type="dxa"/>
                          <w:vAlign w:val="top"/>
                        </w:tcPr>
                        <w:p>
                          <w:pPr>
                            <w:ind w:left="472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901.13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5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6.63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332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1018.44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3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7.45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332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1147.50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4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7.72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333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1268.46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534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7.99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333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1371.56</w:t>
                          </w:r>
                        </w:p>
                      </w:tc>
                      <w:tc>
                        <w:tcPr>
                          <w:tcW w:w="1013" w:type="dxa"/>
                          <w:vAlign w:val="top"/>
                        </w:tcPr>
                        <w:p>
                          <w:pPr>
                            <w:ind w:left="538"/>
                            <w:spacing w:before="98" w:line="166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8"/>
                            </w:rPr>
                            <w:t>8.11</w:t>
                          </w:r>
                        </w:p>
                      </w:tc>
                    </w:tr>
                    <w:tr>
                      <w:trPr>
                        <w:trHeight w:val="348" w:hRule="atLeast"/>
                      </w:trPr>
                      <w:tc>
                        <w:tcPr>
                          <w:tcW w:w="1139" w:type="dxa"/>
                          <w:vAlign w:val="top"/>
                        </w:tcPr>
                        <w:p>
                          <w:pPr>
                            <w:ind w:left="389"/>
                            <w:spacing w:before="104" w:line="162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"/>
                            </w:rPr>
                            <w:t>其他</w:t>
                          </w:r>
                        </w:p>
                      </w:tc>
                      <w:tc>
                        <w:tcPr>
                          <w:tcW w:w="1250" w:type="dxa"/>
                          <w:vAlign w:val="top"/>
                        </w:tcPr>
                        <w:p>
                          <w:pPr>
                            <w:ind w:left="386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0"/>
                            </w:rPr>
                            <w:t>3270.69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445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24.08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321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0"/>
                            </w:rPr>
                            <w:t>3570.59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445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26.11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315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4203.50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446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28.27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</w:tcPr>
                        <w:p>
                          <w:pPr>
                            <w:ind w:left="315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4595.30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</w:tcPr>
                        <w:p>
                          <w:pPr>
                            <w:ind w:left="446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28.96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</w:tcPr>
                        <w:p>
                          <w:pPr>
                            <w:ind w:left="315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4950.47</w:t>
                          </w:r>
                        </w:p>
                      </w:tc>
                      <w:tc>
                        <w:tcPr>
                          <w:tcW w:w="1013" w:type="dxa"/>
                          <w:vAlign w:val="top"/>
                        </w:tcPr>
                        <w:p>
                          <w:pPr>
                            <w:ind w:left="446"/>
                            <w:spacing w:before="101" w:line="164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9"/>
                            </w:rPr>
                            <w:t>29.28</w:t>
                          </w:r>
                        </w:p>
                      </w:tc>
                    </w:tr>
                    <w:tr>
                      <w:trPr>
                        <w:trHeight w:val="358" w:hRule="atLeast"/>
                      </w:trPr>
                      <w:tc>
                        <w:tcPr>
                          <w:tcW w:w="1139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389"/>
                            <w:spacing w:before="105" w:line="168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"/>
                            </w:rPr>
                            <w:t>合计</w:t>
                          </w:r>
                        </w:p>
                      </w:tc>
                      <w:tc>
                        <w:tcPr>
                          <w:tcW w:w="1250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308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13583.69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371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100.00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243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13676.48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371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100.00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243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14866.54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371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100.00</w:t>
                          </w:r>
                        </w:p>
                      </w:tc>
                      <w:tc>
                        <w:tcPr>
                          <w:tcW w:w="1185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244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15867.77</w:t>
                          </w:r>
                        </w:p>
                      </w:tc>
                      <w:tc>
                        <w:tcPr>
                          <w:tcW w:w="1083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371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100.00</w:t>
                          </w:r>
                        </w:p>
                      </w:tc>
                      <w:tc>
                        <w:tcPr>
                          <w:tcW w:w="1184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243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16906.89</w:t>
                          </w:r>
                        </w:p>
                      </w:tc>
                      <w:tc>
                        <w:tcPr>
                          <w:tcW w:w="1013" w:type="dxa"/>
                          <w:vAlign w:val="top"/>
                          <w:tcBorders>
                            <w:bottom w:val="single" w:color="231F20" w:sz="8" w:space="0"/>
                          </w:tcBorders>
                        </w:tcPr>
                        <w:p>
                          <w:pPr>
                            <w:ind w:left="372"/>
                            <w:spacing w:before="102" w:line="170" w:lineRule="auto"/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Noto Sans CJK SC Regular" w:hAnsi="Noto Sans CJK SC Regular" w:eastAsia="Noto Sans CJK SC Regular" w:cs="Noto Sans CJK SC Regular"/>
                              <w:sz w:val="18"/>
                              <w:szCs w:val="18"/>
                              <w:color w:val="231F20"/>
                              <w:spacing w:val="-11"/>
                            </w:rPr>
                            <w:t>100.00</w:t>
                          </w:r>
                        </w:p>
                      </w:tc>
                    </w:tr>
                  </w:tbl>
                  <w:p>
                    <w:pPr>
                      <w:rPr>
                        <w:rFonts w:ascii="Noto Sans CJK SC Regular"/>
                        <w:sz w:val="21"/>
                      </w:rPr>
                    </w:pPr>
                    <w:r/>
                  </w:p>
                </w:txbxContent>
              </v:textbox>
            </v:shape>
          </v:group>
        </w:pict>
      </w:r>
    </w:p>
    <w:p>
      <w:pPr>
        <w:pStyle w:val="BodyText"/>
        <w:ind w:left="352"/>
        <w:spacing w:before="166"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1"/>
        </w:rPr>
        <w:t>注：因部分机构处于风险处置阶段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,2021</w:t>
      </w:r>
      <w:r>
        <w:rPr>
          <w:sz w:val="18"/>
          <w:szCs w:val="18"/>
          <w:color w:val="231F20"/>
          <w:spacing w:val="-1"/>
        </w:rPr>
        <w:t>年至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2023</w:t>
      </w:r>
      <w:r>
        <w:rPr>
          <w:sz w:val="18"/>
          <w:szCs w:val="18"/>
          <w:color w:val="231F20"/>
          <w:spacing w:val="-1"/>
        </w:rPr>
        <w:t>年数据不包含这部分机构。</w:t>
      </w:r>
    </w:p>
    <w:p>
      <w:pPr>
        <w:pStyle w:val="BodyText"/>
        <w:ind w:left="354"/>
        <w:spacing w:before="1" w:line="197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数据来源：金融监管总局。</w:t>
      </w:r>
    </w:p>
    <w:p>
      <w:pPr>
        <w:pStyle w:val="BodyText"/>
        <w:ind w:left="429"/>
        <w:spacing w:before="339" w:line="163" w:lineRule="auto"/>
        <w:rPr/>
      </w:pPr>
      <w:r>
        <w:rPr>
          <w:color w:val="174B8B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</w:rPr>
        <w:t>22                                    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2020</w:t>
      </w:r>
      <w:r>
        <w:rPr>
          <w:color w:val="174B8B"/>
          <w:spacing w:val="-1"/>
        </w:rPr>
        <w:t>－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>2024</w:t>
      </w:r>
      <w:r>
        <w:rPr>
          <w:color w:val="174B8B"/>
          <w:spacing w:val="-1"/>
        </w:rPr>
        <w:t>年全国寿险保费收入构成</w:t>
      </w:r>
    </w:p>
    <w:p>
      <w:pPr>
        <w:pStyle w:val="BodyText"/>
        <w:ind w:left="10552"/>
        <w:spacing w:before="1" w:line="176" w:lineRule="auto"/>
        <w:rPr/>
      </w:pPr>
      <w:r>
        <w:rPr>
          <w:color w:val="231F20"/>
          <w:spacing w:val="-2"/>
        </w:rPr>
        <w:t>单位：亿元，%</w:t>
      </w:r>
    </w:p>
    <w:p>
      <w:pPr>
        <w:spacing w:line="81" w:lineRule="exact"/>
        <w:rPr/>
      </w:pPr>
      <w:r/>
    </w:p>
    <w:tbl>
      <w:tblPr>
        <w:tblStyle w:val="TableNormal"/>
        <w:tblW w:w="12472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838"/>
        <w:gridCol w:w="1493"/>
        <w:gridCol w:w="941"/>
        <w:gridCol w:w="1111"/>
        <w:gridCol w:w="941"/>
        <w:gridCol w:w="1111"/>
        <w:gridCol w:w="941"/>
        <w:gridCol w:w="1111"/>
        <w:gridCol w:w="940"/>
        <w:gridCol w:w="1113"/>
        <w:gridCol w:w="932"/>
      </w:tblGrid>
      <w:tr>
        <w:trPr>
          <w:trHeight w:val="337" w:hRule="atLeast"/>
        </w:trPr>
        <w:tc>
          <w:tcPr>
            <w:tcW w:w="1838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939"/>
              <w:spacing w:before="78" w:line="172" w:lineRule="auto"/>
              <w:rPr/>
            </w:pPr>
            <w:r>
              <w:drawing>
                <wp:anchor distT="0" distB="0" distL="0" distR="0" simplePos="0" relativeHeight="252778496" behindDoc="1" locked="0" layoutInCell="1" allowOverlap="1">
                  <wp:simplePos x="0" y="0"/>
                  <wp:positionH relativeFrom="column">
                    <wp:posOffset>7</wp:posOffset>
                  </wp:positionH>
                  <wp:positionV relativeFrom="paragraph">
                    <wp:posOffset>-6174</wp:posOffset>
                  </wp:positionV>
                  <wp:extent cx="7919986" cy="1778406"/>
                  <wp:effectExtent l="0" t="0" r="0" b="0"/>
                  <wp:wrapNone/>
                  <wp:docPr id="798" name="IM 7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98" name="IM 798"/>
                          <pic:cNvPicPr/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919986" cy="177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4"/>
              </w:rPr>
              <w:t>险种</w:t>
            </w:r>
          </w:p>
        </w:tc>
        <w:tc>
          <w:tcPr>
            <w:tcW w:w="1493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712"/>
              <w:spacing w:before="74" w:line="175" w:lineRule="auto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tcW w:w="94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8"/>
              <w:spacing w:before="78" w:line="172" w:lineRule="auto"/>
              <w:rPr/>
            </w:pPr>
            <w:r>
              <w:rPr>
                <w:color w:val="231F20"/>
                <w:spacing w:val="-8"/>
              </w:rPr>
              <w:t>占比</w:t>
            </w:r>
          </w:p>
        </w:tc>
        <w:tc>
          <w:tcPr>
            <w:tcW w:w="111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30"/>
              <w:spacing w:before="74" w:line="175" w:lineRule="auto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tcW w:w="94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8"/>
              <w:spacing w:before="78" w:line="172" w:lineRule="auto"/>
              <w:rPr/>
            </w:pPr>
            <w:r>
              <w:rPr>
                <w:color w:val="231F20"/>
                <w:spacing w:val="-8"/>
              </w:rPr>
              <w:t>占比</w:t>
            </w:r>
          </w:p>
        </w:tc>
        <w:tc>
          <w:tcPr>
            <w:tcW w:w="111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30"/>
              <w:spacing w:before="74" w:line="175" w:lineRule="auto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tcW w:w="94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8"/>
              <w:spacing w:before="78" w:line="172" w:lineRule="auto"/>
              <w:rPr/>
            </w:pPr>
            <w:r>
              <w:rPr>
                <w:color w:val="231F20"/>
                <w:spacing w:val="-8"/>
              </w:rPr>
              <w:t>占比</w:t>
            </w:r>
          </w:p>
        </w:tc>
        <w:tc>
          <w:tcPr>
            <w:tcW w:w="111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31"/>
              <w:spacing w:before="74" w:line="175" w:lineRule="auto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tcW w:w="940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8"/>
              <w:spacing w:before="78" w:line="172" w:lineRule="auto"/>
              <w:rPr/>
            </w:pPr>
            <w:r>
              <w:rPr>
                <w:color w:val="231F20"/>
                <w:spacing w:val="-8"/>
              </w:rPr>
              <w:t>占比</w:t>
            </w:r>
          </w:p>
        </w:tc>
        <w:tc>
          <w:tcPr>
            <w:tcW w:w="1113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32"/>
              <w:spacing w:before="74" w:line="175" w:lineRule="auto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  <w:tc>
          <w:tcPr>
            <w:tcW w:w="93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68"/>
              <w:spacing w:before="78" w:line="172" w:lineRule="auto"/>
              <w:rPr/>
            </w:pPr>
            <w:r>
              <w:rPr>
                <w:color w:val="231F20"/>
                <w:spacing w:val="-8"/>
              </w:rPr>
              <w:t>占比</w:t>
            </w:r>
          </w:p>
        </w:tc>
      </w:tr>
      <w:tr>
        <w:trPr>
          <w:trHeight w:val="337" w:hRule="atLeast"/>
        </w:trPr>
        <w:tc>
          <w:tcPr>
            <w:tcW w:w="1838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7"/>
              <w:spacing w:before="81" w:line="170" w:lineRule="auto"/>
              <w:rPr/>
            </w:pPr>
            <w:r>
              <w:rPr>
                <w:color w:val="231F20"/>
                <w:spacing w:val="-3"/>
              </w:rPr>
              <w:t>寿险</w:t>
            </w:r>
          </w:p>
        </w:tc>
        <w:tc>
          <w:tcPr>
            <w:tcW w:w="1493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64"/>
              <w:spacing w:before="77" w:line="173" w:lineRule="auto"/>
              <w:rPr/>
            </w:pPr>
            <w:r>
              <w:rPr>
                <w:color w:val="231F20"/>
                <w:spacing w:val="-10"/>
              </w:rPr>
              <w:t>23981.92</w:t>
            </w:r>
          </w:p>
        </w:tc>
        <w:tc>
          <w:tcPr>
            <w:tcW w:w="94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64"/>
              <w:spacing w:before="77" w:line="173" w:lineRule="auto"/>
              <w:rPr/>
            </w:pPr>
            <w:r>
              <w:rPr>
                <w:color w:val="231F20"/>
                <w:spacing w:val="-9"/>
              </w:rPr>
              <w:t>75.72</w:t>
            </w:r>
          </w:p>
        </w:tc>
        <w:tc>
          <w:tcPr>
            <w:tcW w:w="111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82"/>
              <w:spacing w:before="77" w:line="173" w:lineRule="auto"/>
              <w:rPr/>
            </w:pPr>
            <w:r>
              <w:rPr>
                <w:color w:val="231F20"/>
                <w:spacing w:val="-10"/>
              </w:rPr>
              <w:t>23571.84</w:t>
            </w:r>
          </w:p>
        </w:tc>
        <w:tc>
          <w:tcPr>
            <w:tcW w:w="94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64"/>
              <w:spacing w:before="77" w:line="173" w:lineRule="auto"/>
              <w:rPr/>
            </w:pPr>
            <w:r>
              <w:rPr>
                <w:color w:val="231F20"/>
                <w:spacing w:val="-9"/>
              </w:rPr>
              <w:t>75.49</w:t>
            </w:r>
          </w:p>
        </w:tc>
        <w:tc>
          <w:tcPr>
            <w:tcW w:w="111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83"/>
              <w:spacing w:before="77" w:line="173" w:lineRule="auto"/>
              <w:rPr/>
            </w:pPr>
            <w:r>
              <w:rPr>
                <w:color w:val="231F20"/>
                <w:spacing w:val="-10"/>
              </w:rPr>
              <w:t>24518.62</w:t>
            </w:r>
          </w:p>
        </w:tc>
        <w:tc>
          <w:tcPr>
            <w:tcW w:w="94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64"/>
              <w:spacing w:before="77" w:line="173" w:lineRule="auto"/>
              <w:rPr/>
            </w:pPr>
            <w:r>
              <w:rPr>
                <w:color w:val="231F20"/>
                <w:spacing w:val="-9"/>
              </w:rPr>
              <w:t>76.40</w:t>
            </w:r>
          </w:p>
        </w:tc>
        <w:tc>
          <w:tcPr>
            <w:tcW w:w="111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83"/>
              <w:spacing w:before="77" w:line="173" w:lineRule="auto"/>
              <w:rPr/>
            </w:pPr>
            <w:r>
              <w:rPr>
                <w:color w:val="231F20"/>
                <w:spacing w:val="-10"/>
              </w:rPr>
              <w:t>27646.10</w:t>
            </w:r>
          </w:p>
        </w:tc>
        <w:tc>
          <w:tcPr>
            <w:tcW w:w="940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65"/>
              <w:spacing w:before="77" w:line="173" w:lineRule="auto"/>
              <w:rPr/>
            </w:pPr>
            <w:r>
              <w:rPr>
                <w:color w:val="231F20"/>
                <w:spacing w:val="-9"/>
              </w:rPr>
              <w:t>78.14</w:t>
            </w:r>
          </w:p>
        </w:tc>
        <w:tc>
          <w:tcPr>
            <w:tcW w:w="1113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187"/>
              <w:spacing w:before="77" w:line="173" w:lineRule="auto"/>
              <w:rPr/>
            </w:pPr>
            <w:r>
              <w:rPr>
                <w:color w:val="231F20"/>
                <w:spacing w:val="-10"/>
              </w:rPr>
              <w:t>31917.20</w:t>
            </w:r>
          </w:p>
        </w:tc>
        <w:tc>
          <w:tcPr>
            <w:tcW w:w="93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64"/>
              <w:spacing w:before="77" w:line="173" w:lineRule="auto"/>
              <w:rPr/>
            </w:pPr>
            <w:r>
              <w:rPr>
                <w:color w:val="231F20"/>
                <w:spacing w:val="-9"/>
              </w:rPr>
              <w:t>79.68</w:t>
            </w:r>
          </w:p>
        </w:tc>
      </w:tr>
      <w:tr>
        <w:trPr>
          <w:trHeight w:val="348" w:hRule="atLeast"/>
        </w:trPr>
        <w:tc>
          <w:tcPr>
            <w:tcW w:w="1838" w:type="dxa"/>
            <w:vAlign w:val="top"/>
          </w:tcPr>
          <w:p>
            <w:pPr>
              <w:pStyle w:val="TableText"/>
              <w:ind w:left="31"/>
              <w:spacing w:before="94" w:line="169" w:lineRule="auto"/>
              <w:rPr/>
            </w:pPr>
            <w:r>
              <w:rPr>
                <w:color w:val="231F20"/>
                <w:spacing w:val="-1"/>
              </w:rPr>
              <w:t>其中：普通险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579"/>
              <w:spacing w:before="91" w:line="171" w:lineRule="auto"/>
              <w:rPr/>
            </w:pPr>
            <w:r>
              <w:rPr>
                <w:color w:val="231F20"/>
                <w:spacing w:val="-11"/>
              </w:rPr>
              <w:t>12545.94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368"/>
              <w:spacing w:before="91" w:line="171" w:lineRule="auto"/>
              <w:rPr/>
            </w:pPr>
            <w:r>
              <w:rPr>
                <w:color w:val="231F20"/>
                <w:spacing w:val="-9"/>
              </w:rPr>
              <w:t>39.61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197"/>
              <w:spacing w:before="91" w:line="171" w:lineRule="auto"/>
              <w:rPr/>
            </w:pPr>
            <w:r>
              <w:rPr>
                <w:color w:val="231F20"/>
                <w:spacing w:val="-11"/>
              </w:rPr>
              <w:t>13520.14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363"/>
              <w:spacing w:before="91" w:line="171" w:lineRule="auto"/>
              <w:rPr/>
            </w:pPr>
            <w:r>
              <w:rPr>
                <w:color w:val="231F20"/>
                <w:spacing w:val="-8"/>
              </w:rPr>
              <w:t>43.30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197"/>
              <w:spacing w:before="91" w:line="171" w:lineRule="auto"/>
              <w:rPr/>
            </w:pPr>
            <w:r>
              <w:rPr>
                <w:color w:val="231F20"/>
                <w:spacing w:val="-11"/>
              </w:rPr>
              <w:t>15808.90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363"/>
              <w:spacing w:before="91" w:line="171" w:lineRule="auto"/>
              <w:rPr/>
            </w:pPr>
            <w:r>
              <w:rPr>
                <w:color w:val="231F20"/>
                <w:spacing w:val="-8"/>
              </w:rPr>
              <w:t>49.26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183"/>
              <w:spacing w:before="91" w:line="171" w:lineRule="auto"/>
              <w:rPr/>
            </w:pPr>
            <w:r>
              <w:rPr>
                <w:color w:val="231F20"/>
                <w:spacing w:val="-10"/>
              </w:rPr>
              <w:t>20304.15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ind w:left="367"/>
              <w:spacing w:before="91" w:line="171" w:lineRule="auto"/>
              <w:rPr/>
            </w:pPr>
            <w:r>
              <w:rPr>
                <w:color w:val="231F20"/>
                <w:spacing w:val="-9"/>
              </w:rPr>
              <w:t>57.39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84"/>
              <w:spacing w:before="91" w:line="171" w:lineRule="auto"/>
              <w:rPr/>
            </w:pPr>
            <w:r>
              <w:rPr>
                <w:color w:val="231F20"/>
                <w:spacing w:val="-10"/>
              </w:rPr>
              <w:t>24157.42</w:t>
            </w:r>
          </w:p>
        </w:tc>
        <w:tc>
          <w:tcPr>
            <w:tcW w:w="932" w:type="dxa"/>
            <w:vAlign w:val="top"/>
          </w:tcPr>
          <w:p>
            <w:pPr>
              <w:pStyle w:val="TableText"/>
              <w:ind w:left="366"/>
              <w:spacing w:before="91" w:line="171" w:lineRule="auto"/>
              <w:rPr/>
            </w:pPr>
            <w:r>
              <w:rPr>
                <w:color w:val="231F20"/>
                <w:spacing w:val="-9"/>
              </w:rPr>
              <w:t>60.31</w:t>
            </w:r>
          </w:p>
        </w:tc>
      </w:tr>
      <w:tr>
        <w:trPr>
          <w:trHeight w:val="347" w:hRule="atLeast"/>
        </w:trPr>
        <w:tc>
          <w:tcPr>
            <w:tcW w:w="1838" w:type="dxa"/>
            <w:vAlign w:val="top"/>
          </w:tcPr>
          <w:p>
            <w:pPr>
              <w:pStyle w:val="TableText"/>
              <w:ind w:left="608"/>
              <w:spacing w:before="97" w:line="166" w:lineRule="auto"/>
              <w:rPr/>
            </w:pPr>
            <w:r>
              <w:rPr>
                <w:color w:val="231F20"/>
                <w:spacing w:val="-1"/>
              </w:rPr>
              <w:t>分红险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579"/>
              <w:spacing w:before="93" w:line="169" w:lineRule="auto"/>
              <w:rPr/>
            </w:pPr>
            <w:r>
              <w:rPr>
                <w:color w:val="231F20"/>
                <w:spacing w:val="-11"/>
              </w:rPr>
              <w:t>11327.18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368"/>
              <w:spacing w:before="93" w:line="169" w:lineRule="auto"/>
              <w:rPr/>
            </w:pPr>
            <w:r>
              <w:rPr>
                <w:color w:val="231F20"/>
                <w:spacing w:val="-9"/>
              </w:rPr>
              <w:t>35.76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272"/>
              <w:spacing w:before="93" w:line="169" w:lineRule="auto"/>
              <w:rPr/>
            </w:pPr>
            <w:r>
              <w:rPr>
                <w:color w:val="231F20"/>
                <w:spacing w:val="-9"/>
              </w:rPr>
              <w:t>9952.80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368"/>
              <w:spacing w:before="93" w:line="169" w:lineRule="auto"/>
              <w:rPr/>
            </w:pPr>
            <w:r>
              <w:rPr>
                <w:color w:val="231F20"/>
                <w:spacing w:val="-9"/>
              </w:rPr>
              <w:t>31.88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274"/>
              <w:spacing w:before="93" w:line="169" w:lineRule="auto"/>
              <w:rPr/>
            </w:pPr>
            <w:r>
              <w:rPr>
                <w:color w:val="231F20"/>
                <w:spacing w:val="-10"/>
              </w:rPr>
              <w:t>8610.09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366"/>
              <w:spacing w:before="93" w:line="169" w:lineRule="auto"/>
              <w:rPr/>
            </w:pPr>
            <w:r>
              <w:rPr>
                <w:color w:val="231F20"/>
                <w:spacing w:val="-9"/>
              </w:rPr>
              <w:t>26.83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271"/>
              <w:spacing w:before="93" w:line="169" w:lineRule="auto"/>
              <w:rPr/>
            </w:pPr>
            <w:r>
              <w:rPr>
                <w:color w:val="231F20"/>
                <w:spacing w:val="-9"/>
              </w:rPr>
              <w:t>7240.29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ind w:left="366"/>
              <w:spacing w:before="93" w:line="169" w:lineRule="auto"/>
              <w:rPr/>
            </w:pPr>
            <w:r>
              <w:rPr>
                <w:color w:val="231F20"/>
                <w:spacing w:val="-9"/>
              </w:rPr>
              <w:t>20.46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272"/>
              <w:spacing w:before="93" w:line="169" w:lineRule="auto"/>
              <w:rPr/>
            </w:pPr>
            <w:r>
              <w:rPr>
                <w:color w:val="231F20"/>
                <w:spacing w:val="-9"/>
              </w:rPr>
              <w:t>7667.40</w:t>
            </w:r>
          </w:p>
        </w:tc>
        <w:tc>
          <w:tcPr>
            <w:tcW w:w="932" w:type="dxa"/>
            <w:vAlign w:val="top"/>
          </w:tcPr>
          <w:p>
            <w:pPr>
              <w:pStyle w:val="TableText"/>
              <w:ind w:left="380"/>
              <w:spacing w:before="93" w:line="169" w:lineRule="auto"/>
              <w:rPr/>
            </w:pPr>
            <w:r>
              <w:rPr>
                <w:color w:val="231F20"/>
                <w:spacing w:val="-11"/>
              </w:rPr>
              <w:t>19.14</w:t>
            </w:r>
          </w:p>
        </w:tc>
      </w:tr>
      <w:tr>
        <w:trPr>
          <w:trHeight w:val="347" w:hRule="atLeast"/>
        </w:trPr>
        <w:tc>
          <w:tcPr>
            <w:tcW w:w="1838" w:type="dxa"/>
            <w:vAlign w:val="top"/>
          </w:tcPr>
          <w:p>
            <w:pPr>
              <w:pStyle w:val="TableText"/>
              <w:ind w:left="608"/>
              <w:spacing w:before="100" w:line="164" w:lineRule="auto"/>
              <w:rPr/>
            </w:pPr>
            <w:r>
              <w:rPr>
                <w:color w:val="231F20"/>
                <w:spacing w:val="-1"/>
              </w:rPr>
              <w:t>投连险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919"/>
              <w:spacing w:before="96" w:line="167" w:lineRule="auto"/>
              <w:rPr/>
            </w:pPr>
            <w:r>
              <w:rPr>
                <w:color w:val="231F20"/>
                <w:spacing w:val="-8"/>
              </w:rPr>
              <w:t>4.33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454"/>
              <w:spacing w:before="96" w:line="167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42"/>
              <w:spacing w:before="96" w:line="167" w:lineRule="auto"/>
              <w:rPr/>
            </w:pPr>
            <w:r>
              <w:rPr>
                <w:color w:val="231F20"/>
                <w:spacing w:val="-9"/>
              </w:rPr>
              <w:t>3.72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454"/>
              <w:spacing w:before="96" w:line="167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43"/>
              <w:spacing w:before="96" w:line="167" w:lineRule="auto"/>
              <w:rPr/>
            </w:pPr>
            <w:r>
              <w:rPr>
                <w:color w:val="231F20"/>
                <w:spacing w:val="-9"/>
              </w:rPr>
              <w:t>3.63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454"/>
              <w:spacing w:before="96" w:line="167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43"/>
              <w:spacing w:before="96" w:line="167" w:lineRule="auto"/>
              <w:rPr/>
            </w:pPr>
            <w:r>
              <w:rPr>
                <w:color w:val="231F20"/>
                <w:spacing w:val="-9"/>
              </w:rPr>
              <w:t>3.69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ind w:left="455"/>
              <w:spacing w:before="96" w:line="167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544"/>
              <w:spacing w:before="96" w:line="167" w:lineRule="auto"/>
              <w:rPr/>
            </w:pPr>
            <w:r>
              <w:rPr>
                <w:color w:val="231F20"/>
                <w:spacing w:val="-9"/>
              </w:rPr>
              <w:t>3.67</w:t>
            </w:r>
          </w:p>
        </w:tc>
        <w:tc>
          <w:tcPr>
            <w:tcW w:w="932" w:type="dxa"/>
            <w:vAlign w:val="top"/>
          </w:tcPr>
          <w:p>
            <w:pPr>
              <w:pStyle w:val="TableText"/>
              <w:ind w:left="454"/>
              <w:spacing w:before="96" w:line="167" w:lineRule="auto"/>
              <w:rPr/>
            </w:pPr>
            <w:r>
              <w:rPr>
                <w:color w:val="231F20"/>
                <w:spacing w:val="-8"/>
              </w:rPr>
              <w:t>0.01</w:t>
            </w:r>
          </w:p>
        </w:tc>
      </w:tr>
      <w:tr>
        <w:trPr>
          <w:trHeight w:val="347" w:hRule="atLeast"/>
        </w:trPr>
        <w:tc>
          <w:tcPr>
            <w:tcW w:w="1838" w:type="dxa"/>
            <w:vAlign w:val="top"/>
          </w:tcPr>
          <w:p>
            <w:pPr>
              <w:pStyle w:val="TableText"/>
              <w:ind w:left="35"/>
              <w:spacing w:before="103" w:line="162" w:lineRule="auto"/>
              <w:rPr/>
            </w:pPr>
            <w:r>
              <w:rPr>
                <w:color w:val="231F20"/>
                <w:spacing w:val="-2"/>
              </w:rPr>
              <w:t>意外险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743"/>
              <w:spacing w:before="98" w:line="165" w:lineRule="auto"/>
              <w:rPr/>
            </w:pPr>
            <w:r>
              <w:rPr>
                <w:color w:val="231F20"/>
                <w:spacing w:val="-9"/>
              </w:rPr>
              <w:t>633.21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454"/>
              <w:spacing w:before="98" w:line="165" w:lineRule="auto"/>
              <w:rPr/>
            </w:pPr>
            <w:r>
              <w:rPr>
                <w:color w:val="231F20"/>
                <w:spacing w:val="-8"/>
              </w:rPr>
              <w:t>2.00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362"/>
              <w:spacing w:before="98" w:line="165" w:lineRule="auto"/>
              <w:rPr/>
            </w:pPr>
            <w:r>
              <w:rPr>
                <w:color w:val="231F20"/>
                <w:spacing w:val="-9"/>
              </w:rPr>
              <w:t>582.89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469"/>
              <w:spacing w:before="98" w:line="165" w:lineRule="auto"/>
              <w:rPr/>
            </w:pPr>
            <w:r>
              <w:rPr>
                <w:color w:val="231F20"/>
                <w:spacing w:val="-11"/>
              </w:rPr>
              <w:t>1.87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359"/>
              <w:spacing w:before="98" w:line="165" w:lineRule="auto"/>
              <w:rPr/>
            </w:pPr>
            <w:r>
              <w:rPr>
                <w:color w:val="231F20"/>
                <w:spacing w:val="-9"/>
              </w:rPr>
              <w:t>499.17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470"/>
              <w:spacing w:before="98" w:line="165" w:lineRule="auto"/>
              <w:rPr/>
            </w:pPr>
            <w:r>
              <w:rPr>
                <w:color w:val="231F20"/>
                <w:spacing w:val="-11"/>
              </w:rPr>
              <w:t>1.56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359"/>
              <w:spacing w:before="98" w:line="165" w:lineRule="auto"/>
              <w:rPr/>
            </w:pPr>
            <w:r>
              <w:rPr>
                <w:color w:val="231F20"/>
                <w:spacing w:val="-9"/>
              </w:rPr>
              <w:t>449.65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ind w:left="470"/>
              <w:spacing w:before="98" w:line="165" w:lineRule="auto"/>
              <w:rPr/>
            </w:pPr>
            <w:r>
              <w:rPr>
                <w:color w:val="231F20"/>
                <w:spacing w:val="-11"/>
              </w:rPr>
              <w:t>1.27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360"/>
              <w:spacing w:before="98" w:line="165" w:lineRule="auto"/>
              <w:rPr/>
            </w:pPr>
            <w:r>
              <w:rPr>
                <w:color w:val="231F20"/>
                <w:spacing w:val="-9"/>
              </w:rPr>
              <w:t>408.34</w:t>
            </w:r>
          </w:p>
        </w:tc>
        <w:tc>
          <w:tcPr>
            <w:tcW w:w="932" w:type="dxa"/>
            <w:vAlign w:val="top"/>
          </w:tcPr>
          <w:p>
            <w:pPr>
              <w:pStyle w:val="TableText"/>
              <w:ind w:left="469"/>
              <w:spacing w:before="98" w:line="165" w:lineRule="auto"/>
              <w:rPr/>
            </w:pPr>
            <w:r>
              <w:rPr>
                <w:color w:val="231F20"/>
                <w:spacing w:val="-11"/>
              </w:rPr>
              <w:t>1.02</w:t>
            </w:r>
          </w:p>
        </w:tc>
      </w:tr>
      <w:tr>
        <w:trPr>
          <w:trHeight w:val="349" w:hRule="atLeast"/>
        </w:trPr>
        <w:tc>
          <w:tcPr>
            <w:tcW w:w="1838" w:type="dxa"/>
            <w:vAlign w:val="top"/>
          </w:tcPr>
          <w:p>
            <w:pPr>
              <w:pStyle w:val="TableText"/>
              <w:ind w:left="31"/>
              <w:spacing w:before="103" w:line="163" w:lineRule="auto"/>
              <w:rPr/>
            </w:pPr>
            <w:r>
              <w:rPr>
                <w:color w:val="231F20"/>
                <w:spacing w:val="-1"/>
              </w:rPr>
              <w:t>健康险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652"/>
              <w:spacing w:before="102" w:line="164" w:lineRule="auto"/>
              <w:rPr/>
            </w:pPr>
            <w:r>
              <w:rPr>
                <w:color w:val="231F20"/>
                <w:spacing w:val="-9"/>
              </w:rPr>
              <w:t>7058.50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365"/>
              <w:spacing w:before="102" w:line="164" w:lineRule="auto"/>
              <w:rPr/>
            </w:pPr>
            <w:r>
              <w:rPr>
                <w:color w:val="231F20"/>
                <w:spacing w:val="-9"/>
              </w:rPr>
              <w:t>22.29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270"/>
              <w:spacing w:before="102" w:line="164" w:lineRule="auto"/>
              <w:rPr/>
            </w:pPr>
            <w:r>
              <w:rPr>
                <w:color w:val="231F20"/>
                <w:spacing w:val="-9"/>
              </w:rPr>
              <w:t>7068.94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365"/>
              <w:spacing w:before="102" w:line="164" w:lineRule="auto"/>
              <w:rPr/>
            </w:pPr>
            <w:r>
              <w:rPr>
                <w:color w:val="231F20"/>
                <w:spacing w:val="-9"/>
              </w:rPr>
              <w:t>22.64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271"/>
              <w:spacing w:before="102" w:line="164" w:lineRule="auto"/>
              <w:rPr/>
            </w:pPr>
            <w:r>
              <w:rPr>
                <w:color w:val="231F20"/>
                <w:spacing w:val="-9"/>
              </w:rPr>
              <w:t>7072.84</w:t>
            </w:r>
          </w:p>
        </w:tc>
        <w:tc>
          <w:tcPr>
            <w:tcW w:w="941" w:type="dxa"/>
            <w:vAlign w:val="top"/>
          </w:tcPr>
          <w:p>
            <w:pPr>
              <w:pStyle w:val="TableText"/>
              <w:ind w:left="366"/>
              <w:spacing w:before="102" w:line="164" w:lineRule="auto"/>
              <w:rPr/>
            </w:pPr>
            <w:r>
              <w:rPr>
                <w:color w:val="231F20"/>
                <w:spacing w:val="-9"/>
              </w:rPr>
              <w:t>22.04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271"/>
              <w:spacing w:before="102" w:line="164" w:lineRule="auto"/>
              <w:rPr/>
            </w:pPr>
            <w:r>
              <w:rPr>
                <w:color w:val="231F20"/>
                <w:spacing w:val="-9"/>
              </w:rPr>
              <w:t>7282.85</w:t>
            </w:r>
          </w:p>
        </w:tc>
        <w:tc>
          <w:tcPr>
            <w:tcW w:w="940" w:type="dxa"/>
            <w:vAlign w:val="top"/>
          </w:tcPr>
          <w:p>
            <w:pPr>
              <w:pStyle w:val="TableText"/>
              <w:ind w:left="366"/>
              <w:spacing w:before="102" w:line="164" w:lineRule="auto"/>
              <w:rPr/>
            </w:pPr>
            <w:r>
              <w:rPr>
                <w:color w:val="231F20"/>
                <w:spacing w:val="-9"/>
              </w:rPr>
              <w:t>20.59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272"/>
              <w:spacing w:before="102" w:line="164" w:lineRule="auto"/>
              <w:rPr/>
            </w:pPr>
            <w:r>
              <w:rPr>
                <w:color w:val="231F20"/>
                <w:spacing w:val="-9"/>
              </w:rPr>
              <w:t>7730.67</w:t>
            </w:r>
          </w:p>
        </w:tc>
        <w:tc>
          <w:tcPr>
            <w:tcW w:w="932" w:type="dxa"/>
            <w:vAlign w:val="top"/>
          </w:tcPr>
          <w:p>
            <w:pPr>
              <w:pStyle w:val="TableText"/>
              <w:ind w:left="380"/>
              <w:spacing w:before="102" w:line="164" w:lineRule="auto"/>
              <w:rPr/>
            </w:pPr>
            <w:r>
              <w:rPr>
                <w:color w:val="231F20"/>
                <w:spacing w:val="-11"/>
              </w:rPr>
              <w:t>19.30</w:t>
            </w:r>
          </w:p>
        </w:tc>
      </w:tr>
      <w:tr>
        <w:trPr>
          <w:trHeight w:val="358" w:hRule="atLeast"/>
        </w:trPr>
        <w:tc>
          <w:tcPr>
            <w:tcW w:w="1838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31"/>
              <w:spacing w:before="105" w:line="168" w:lineRule="auto"/>
              <w:rPr/>
            </w:pPr>
            <w:r>
              <w:rPr>
                <w:color w:val="231F20"/>
                <w:spacing w:val="-1"/>
              </w:rPr>
              <w:t>合计</w:t>
            </w:r>
          </w:p>
        </w:tc>
        <w:tc>
          <w:tcPr>
            <w:tcW w:w="1493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567"/>
              <w:spacing w:before="102" w:line="170" w:lineRule="auto"/>
              <w:rPr/>
            </w:pPr>
            <w:r>
              <w:rPr>
                <w:color w:val="231F20"/>
                <w:spacing w:val="-10"/>
              </w:rPr>
              <w:t>31673.64</w:t>
            </w:r>
          </w:p>
        </w:tc>
        <w:tc>
          <w:tcPr>
            <w:tcW w:w="94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91"/>
              <w:spacing w:before="102" w:line="170" w:lineRule="auto"/>
              <w:rPr/>
            </w:pPr>
            <w:r>
              <w:rPr>
                <w:color w:val="231F20"/>
                <w:spacing w:val="-11"/>
              </w:rPr>
              <w:t>100.00</w:t>
            </w:r>
          </w:p>
        </w:tc>
        <w:tc>
          <w:tcPr>
            <w:tcW w:w="111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85"/>
              <w:spacing w:before="102" w:line="170" w:lineRule="auto"/>
              <w:rPr/>
            </w:pPr>
            <w:r>
              <w:rPr>
                <w:color w:val="231F20"/>
                <w:spacing w:val="-10"/>
              </w:rPr>
              <w:t>31223.67</w:t>
            </w:r>
          </w:p>
        </w:tc>
        <w:tc>
          <w:tcPr>
            <w:tcW w:w="94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91"/>
              <w:spacing w:before="102" w:line="170" w:lineRule="auto"/>
              <w:rPr/>
            </w:pPr>
            <w:r>
              <w:rPr>
                <w:color w:val="231F20"/>
                <w:spacing w:val="-11"/>
              </w:rPr>
              <w:t>100.00</w:t>
            </w:r>
          </w:p>
        </w:tc>
        <w:tc>
          <w:tcPr>
            <w:tcW w:w="111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86"/>
              <w:spacing w:before="102" w:line="170" w:lineRule="auto"/>
              <w:rPr/>
            </w:pPr>
            <w:r>
              <w:rPr>
                <w:color w:val="231F20"/>
                <w:spacing w:val="-10"/>
              </w:rPr>
              <w:t>32090.63</w:t>
            </w:r>
          </w:p>
        </w:tc>
        <w:tc>
          <w:tcPr>
            <w:tcW w:w="94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91"/>
              <w:spacing w:before="102" w:line="170" w:lineRule="auto"/>
              <w:rPr/>
            </w:pPr>
            <w:r>
              <w:rPr>
                <w:color w:val="231F20"/>
                <w:spacing w:val="-11"/>
              </w:rPr>
              <w:t>100.00</w:t>
            </w:r>
          </w:p>
        </w:tc>
        <w:tc>
          <w:tcPr>
            <w:tcW w:w="111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86"/>
              <w:spacing w:before="102" w:line="170" w:lineRule="auto"/>
              <w:rPr/>
            </w:pPr>
            <w:r>
              <w:rPr>
                <w:color w:val="231F20"/>
                <w:spacing w:val="-10"/>
              </w:rPr>
              <w:t>35378.91</w:t>
            </w:r>
          </w:p>
        </w:tc>
        <w:tc>
          <w:tcPr>
            <w:tcW w:w="940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91"/>
              <w:spacing w:before="102" w:line="170" w:lineRule="auto"/>
              <w:rPr/>
            </w:pPr>
            <w:r>
              <w:rPr>
                <w:color w:val="231F20"/>
                <w:spacing w:val="-11"/>
              </w:rPr>
              <w:t>100.00</w:t>
            </w:r>
          </w:p>
        </w:tc>
        <w:tc>
          <w:tcPr>
            <w:tcW w:w="1113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82"/>
              <w:spacing w:before="102" w:line="170" w:lineRule="auto"/>
              <w:rPr/>
            </w:pPr>
            <w:r>
              <w:rPr>
                <w:color w:val="231F20"/>
                <w:spacing w:val="-9"/>
              </w:rPr>
              <w:t>40056.20</w:t>
            </w:r>
          </w:p>
        </w:tc>
        <w:tc>
          <w:tcPr>
            <w:tcW w:w="93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291"/>
              <w:spacing w:before="102" w:line="170" w:lineRule="auto"/>
              <w:rPr/>
            </w:pPr>
            <w:r>
              <w:rPr>
                <w:color w:val="231F20"/>
                <w:spacing w:val="-11"/>
              </w:rPr>
              <w:t>100.00</w:t>
            </w:r>
          </w:p>
        </w:tc>
      </w:tr>
    </w:tbl>
    <w:p>
      <w:pPr>
        <w:pStyle w:val="BodyText"/>
        <w:ind w:left="352"/>
        <w:spacing w:before="166" w:line="166" w:lineRule="auto"/>
        <w:rPr>
          <w:sz w:val="18"/>
          <w:szCs w:val="18"/>
        </w:rPr>
      </w:pPr>
      <w:r>
        <w:pict>
          <v:rect id="_x0000_s240" style="position:absolute;margin-left:651.969pt;margin-top:18.8496pt;mso-position-vertical-relative:text;mso-position-horizontal-relative:text;width:17.05pt;height:22.7pt;z-index:252779520;" fillcolor="#174B8B" filled="true" stroked="false"/>
        </w:pict>
      </w:r>
      <w:r>
        <w:rPr>
          <w:sz w:val="18"/>
          <w:szCs w:val="18"/>
          <w:color w:val="231F20"/>
          <w:spacing w:val="-1"/>
        </w:rPr>
        <w:t>注：① 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2021</w:t>
      </w:r>
      <w:r>
        <w:rPr>
          <w:sz w:val="18"/>
          <w:szCs w:val="18"/>
          <w:color w:val="231F20"/>
          <w:spacing w:val="-1"/>
        </w:rPr>
        <w:t>年起数据不含中华控股寿险业务原保险保费收入。</w:t>
      </w:r>
    </w:p>
    <w:p>
      <w:pPr>
        <w:pStyle w:val="BodyText"/>
        <w:ind w:left="354" w:right="6714" w:firstLine="349"/>
        <w:spacing w:before="1" w:line="183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②</w:t>
      </w:r>
      <w:r>
        <w:rPr>
          <w:sz w:val="18"/>
          <w:szCs w:val="18"/>
          <w:color w:val="231F20"/>
          <w:spacing w:val="53"/>
          <w:w w:val="101"/>
        </w:rPr>
        <w:t xml:space="preserve"> </w:t>
      </w:r>
      <w:r>
        <w:rPr>
          <w:sz w:val="18"/>
          <w:szCs w:val="18"/>
          <w:color w:val="231F20"/>
          <w:spacing w:val="-2"/>
        </w:rPr>
        <w:t>因部分机构处于风险处置阶段，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2021</w:t>
      </w:r>
      <w:r>
        <w:rPr>
          <w:sz w:val="18"/>
          <w:szCs w:val="18"/>
          <w:color w:val="231F20"/>
          <w:spacing w:val="-2"/>
        </w:rPr>
        <w:t>年至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2"/>
        </w:rPr>
        <w:t>2023</w:t>
      </w:r>
      <w:r>
        <w:rPr>
          <w:sz w:val="18"/>
          <w:szCs w:val="18"/>
          <w:color w:val="231F20"/>
          <w:spacing w:val="-2"/>
        </w:rPr>
        <w:t>年数据不包含这部分机构。</w:t>
      </w:r>
      <w:r>
        <w:rPr>
          <w:sz w:val="18"/>
          <w:szCs w:val="18"/>
          <w:color w:val="231F20"/>
        </w:rPr>
        <w:t xml:space="preserve"> </w:t>
      </w:r>
      <w:r>
        <w:rPr>
          <w:sz w:val="18"/>
          <w:szCs w:val="18"/>
          <w:color w:val="231F20"/>
          <w:spacing w:val="-3"/>
        </w:rPr>
        <w:t>数据来源：金融监管总局。</w:t>
      </w:r>
    </w:p>
    <w:p>
      <w:pPr>
        <w:spacing w:line="183" w:lineRule="auto"/>
        <w:sectPr>
          <w:pgSz w:w="16158" w:h="11906"/>
          <w:pgMar w:top="400" w:right="1077" w:bottom="400" w:left="1700" w:header="0" w:footer="0" w:gutter="0"/>
        </w:sectPr>
        <w:rPr>
          <w:sz w:val="18"/>
          <w:szCs w:val="18"/>
        </w:rPr>
      </w:pPr>
    </w:p>
    <w:p>
      <w:pPr>
        <w:pStyle w:val="BodyText"/>
        <w:spacing w:line="293" w:lineRule="auto"/>
        <w:rPr/>
      </w:pPr>
      <w:r/>
    </w:p>
    <w:p>
      <w:pPr>
        <w:pStyle w:val="BodyText"/>
        <w:ind w:left="429"/>
        <w:spacing w:before="102" w:line="163" w:lineRule="auto"/>
        <w:rPr/>
      </w:pPr>
      <w:r>
        <w:rPr>
          <w:color w:val="174B8B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</w:rPr>
        <w:t>23                                 2024</w:t>
      </w:r>
      <w:r>
        <w:rPr>
          <w:color w:val="174B8B"/>
        </w:rPr>
        <w:t>年全国各地区保费收入情况表</w:t>
      </w:r>
    </w:p>
    <w:p>
      <w:pPr>
        <w:pStyle w:val="BodyText"/>
        <w:ind w:left="7287"/>
        <w:spacing w:before="1" w:line="179" w:lineRule="auto"/>
        <w:rPr/>
      </w:pPr>
      <w:r>
        <w:rPr>
          <w:color w:val="231F20"/>
          <w:spacing w:val="-1"/>
        </w:rPr>
        <w:t>单位：亿元</w:t>
      </w:r>
    </w:p>
    <w:p>
      <w:pPr>
        <w:spacing w:line="95" w:lineRule="exact"/>
        <w:rPr/>
      </w:pPr>
      <w:r/>
    </w:p>
    <w:tbl>
      <w:tblPr>
        <w:tblStyle w:val="TableNormal"/>
        <w:tblW w:w="8776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22"/>
        <w:gridCol w:w="1989"/>
        <w:gridCol w:w="1294"/>
        <w:gridCol w:w="1111"/>
        <w:gridCol w:w="1205"/>
        <w:gridCol w:w="1255"/>
      </w:tblGrid>
      <w:tr>
        <w:trPr>
          <w:trHeight w:val="279" w:hRule="atLeast"/>
        </w:trPr>
        <w:tc>
          <w:tcPr>
            <w:tcW w:w="1922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901"/>
              <w:spacing w:before="56" w:line="213" w:lineRule="exact"/>
              <w:rPr/>
            </w:pPr>
            <w:r>
              <w:drawing>
                <wp:anchor distT="0" distB="0" distL="0" distR="0" simplePos="0" relativeHeight="25278873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4776012" cy="7181456"/>
                  <wp:effectExtent l="0" t="0" r="0" b="0"/>
                  <wp:wrapNone/>
                  <wp:docPr id="802" name="IM 8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2" name="IM 802"/>
                          <pic:cNvPicPr/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776012" cy="71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231F20"/>
                <w:spacing w:val="-2"/>
                <w:position w:val="-3"/>
              </w:rPr>
              <w:t>地区</w:t>
            </w:r>
          </w:p>
        </w:tc>
        <w:tc>
          <w:tcPr>
            <w:tcW w:w="1989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487"/>
              <w:spacing w:before="48" w:line="221" w:lineRule="exact"/>
              <w:rPr/>
            </w:pPr>
            <w:r>
              <w:rPr>
                <w:color w:val="231F20"/>
                <w:spacing w:val="-1"/>
              </w:rPr>
              <w:t>原保险保费收入</w:t>
            </w:r>
          </w:p>
        </w:tc>
        <w:tc>
          <w:tcPr>
            <w:tcW w:w="1294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250"/>
              <w:spacing w:before="48" w:line="221" w:lineRule="exact"/>
              <w:rPr/>
            </w:pPr>
            <w:r>
              <w:rPr>
                <w:color w:val="231F20"/>
                <w:spacing w:val="-1"/>
              </w:rPr>
              <w:t>财产保险</w:t>
            </w:r>
          </w:p>
        </w:tc>
        <w:tc>
          <w:tcPr>
            <w:tcW w:w="1111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42"/>
              <w:spacing w:before="48" w:line="221" w:lineRule="exact"/>
              <w:rPr/>
            </w:pPr>
            <w:r>
              <w:rPr>
                <w:color w:val="231F20"/>
                <w:spacing w:val="-3"/>
              </w:rPr>
              <w:t>寿险</w:t>
            </w:r>
          </w:p>
        </w:tc>
        <w:tc>
          <w:tcPr>
            <w:tcW w:w="120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41"/>
              <w:spacing w:before="48" w:line="221" w:lineRule="exact"/>
              <w:rPr/>
            </w:pPr>
            <w:r>
              <w:rPr>
                <w:color w:val="231F20"/>
                <w:spacing w:val="-2"/>
              </w:rPr>
              <w:t>意外险</w:t>
            </w:r>
          </w:p>
        </w:tc>
        <w:tc>
          <w:tcPr>
            <w:tcW w:w="1255" w:type="dxa"/>
            <w:vAlign w:val="top"/>
            <w:tcBorders>
              <w:bottom w:val="single" w:color="231F20" w:sz="4" w:space="0"/>
              <w:top w:val="single" w:color="231F20" w:sz="8" w:space="0"/>
            </w:tcBorders>
          </w:tcPr>
          <w:p>
            <w:pPr>
              <w:pStyle w:val="TableText"/>
              <w:ind w:left="360"/>
              <w:spacing w:before="46" w:line="223" w:lineRule="exact"/>
              <w:rPr/>
            </w:pPr>
            <w:r>
              <w:rPr>
                <w:color w:val="231F20"/>
                <w:spacing w:val="-1"/>
              </w:rPr>
              <w:t>健康险</w:t>
            </w:r>
          </w:p>
        </w:tc>
      </w:tr>
      <w:tr>
        <w:trPr>
          <w:trHeight w:val="279" w:hRule="atLeast"/>
        </w:trPr>
        <w:tc>
          <w:tcPr>
            <w:tcW w:w="1922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721"/>
              <w:spacing w:before="48" w:line="221" w:lineRule="exact"/>
              <w:rPr/>
            </w:pPr>
            <w:r>
              <w:rPr>
                <w:color w:val="231F20"/>
                <w:spacing w:val="-1"/>
              </w:rPr>
              <w:t>全国合计</w:t>
            </w:r>
          </w:p>
        </w:tc>
        <w:tc>
          <w:tcPr>
            <w:tcW w:w="1989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872"/>
              <w:spacing w:before="45" w:line="224" w:lineRule="exact"/>
              <w:rPr/>
            </w:pPr>
            <w:r>
              <w:rPr>
                <w:color w:val="231F20"/>
                <w:spacing w:val="-10"/>
              </w:rPr>
              <w:t>56963</w:t>
            </w:r>
          </w:p>
        </w:tc>
        <w:tc>
          <w:tcPr>
            <w:tcW w:w="1294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439"/>
              <w:spacing w:before="45" w:line="224" w:lineRule="exact"/>
              <w:rPr/>
            </w:pPr>
            <w:r>
              <w:rPr>
                <w:color w:val="231F20"/>
                <w:spacing w:val="-12"/>
              </w:rPr>
              <w:t>14331</w:t>
            </w:r>
          </w:p>
        </w:tc>
        <w:tc>
          <w:tcPr>
            <w:tcW w:w="1111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335"/>
              <w:spacing w:before="45" w:line="224" w:lineRule="exact"/>
              <w:rPr/>
            </w:pPr>
            <w:r>
              <w:rPr>
                <w:color w:val="231F20"/>
                <w:spacing w:val="-10"/>
              </w:rPr>
              <w:t>31917</w:t>
            </w:r>
          </w:p>
        </w:tc>
        <w:tc>
          <w:tcPr>
            <w:tcW w:w="120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45"/>
              <w:spacing w:before="45" w:line="224" w:lineRule="exact"/>
              <w:rPr/>
            </w:pPr>
            <w:r>
              <w:rPr>
                <w:color w:val="231F20"/>
                <w:spacing w:val="-9"/>
              </w:rPr>
              <w:t>942</w:t>
            </w:r>
          </w:p>
        </w:tc>
        <w:tc>
          <w:tcPr>
            <w:tcW w:w="1255" w:type="dxa"/>
            <w:vAlign w:val="top"/>
            <w:tcBorders>
              <w:top w:val="single" w:color="231F20" w:sz="4" w:space="0"/>
            </w:tcBorders>
          </w:tcPr>
          <w:p>
            <w:pPr>
              <w:pStyle w:val="TableText"/>
              <w:ind w:left="563"/>
              <w:spacing w:before="45" w:line="224" w:lineRule="exact"/>
              <w:rPr/>
            </w:pPr>
            <w:r>
              <w:rPr>
                <w:color w:val="231F20"/>
                <w:spacing w:val="-9"/>
              </w:rPr>
              <w:t>9773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4"/>
              <w:spacing w:before="60" w:line="219" w:lineRule="exact"/>
              <w:rPr/>
            </w:pPr>
            <w:r>
              <w:rPr>
                <w:color w:val="231F20"/>
                <w:spacing w:val="-4"/>
              </w:rPr>
              <w:t>江</w:t>
            </w:r>
            <w:r>
              <w:rPr>
                <w:color w:val="231F20"/>
                <w:spacing w:val="6"/>
              </w:rPr>
              <w:t xml:space="preserve">    </w:t>
            </w:r>
            <w:r>
              <w:rPr>
                <w:color w:val="231F20"/>
                <w:spacing w:val="-4"/>
              </w:rPr>
              <w:t>苏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1"/>
              <w:spacing w:before="56" w:line="223" w:lineRule="exact"/>
              <w:rPr/>
            </w:pPr>
            <w:r>
              <w:rPr>
                <w:color w:val="231F20"/>
                <w:spacing w:val="-10"/>
              </w:rPr>
              <w:t>5473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528"/>
              <w:spacing w:before="56" w:line="223" w:lineRule="exact"/>
              <w:rPr/>
            </w:pPr>
            <w:r>
              <w:rPr>
                <w:color w:val="231F20"/>
                <w:spacing w:val="-12"/>
              </w:rPr>
              <w:t>1260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24"/>
              <w:spacing w:before="56" w:line="223" w:lineRule="exact"/>
              <w:rPr/>
            </w:pPr>
            <w:r>
              <w:rPr>
                <w:color w:val="231F20"/>
                <w:spacing w:val="-10"/>
              </w:rPr>
              <w:t>3345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3"/>
              <w:spacing w:before="56" w:line="223" w:lineRule="exact"/>
              <w:rPr/>
            </w:pPr>
            <w:r>
              <w:rPr>
                <w:color w:val="231F20"/>
                <w:spacing w:val="-7"/>
              </w:rPr>
              <w:t>73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1"/>
              <w:spacing w:before="56" w:line="223" w:lineRule="exact"/>
              <w:rPr/>
            </w:pPr>
            <w:r>
              <w:rPr>
                <w:color w:val="231F20"/>
                <w:spacing w:val="-8"/>
              </w:rPr>
              <w:t>796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62" w:line="217" w:lineRule="exact"/>
              <w:rPr/>
            </w:pPr>
            <w:r>
              <w:rPr>
                <w:color w:val="231F20"/>
                <w:spacing w:val="-3"/>
              </w:rPr>
              <w:t>广</w:t>
            </w:r>
            <w:r>
              <w:rPr>
                <w:color w:val="231F20"/>
                <w:spacing w:val="5"/>
              </w:rPr>
              <w:t xml:space="preserve">    </w:t>
            </w:r>
            <w:r>
              <w:rPr>
                <w:color w:val="231F20"/>
                <w:spacing w:val="-3"/>
              </w:rPr>
              <w:t>东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1"/>
              <w:spacing w:before="57" w:line="222" w:lineRule="exact"/>
              <w:rPr/>
            </w:pPr>
            <w:r>
              <w:rPr>
                <w:color w:val="231F20"/>
                <w:spacing w:val="-10"/>
              </w:rPr>
              <w:t>5343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528"/>
              <w:spacing w:before="57" w:line="222" w:lineRule="exact"/>
              <w:rPr/>
            </w:pPr>
            <w:r>
              <w:rPr>
                <w:color w:val="231F20"/>
                <w:spacing w:val="-12"/>
              </w:rPr>
              <w:t>1283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24"/>
              <w:spacing w:before="57" w:line="222" w:lineRule="exact"/>
              <w:rPr/>
            </w:pPr>
            <w:r>
              <w:rPr>
                <w:color w:val="231F20"/>
                <w:spacing w:val="-10"/>
              </w:rPr>
              <w:t>3087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560"/>
              <w:spacing w:before="57" w:line="222" w:lineRule="exact"/>
              <w:rPr/>
            </w:pPr>
            <w:r>
              <w:rPr>
                <w:color w:val="231F20"/>
                <w:spacing w:val="-12"/>
              </w:rPr>
              <w:t>106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4"/>
              <w:spacing w:before="57" w:line="222" w:lineRule="exact"/>
              <w:rPr/>
            </w:pPr>
            <w:r>
              <w:rPr>
                <w:color w:val="231F20"/>
                <w:spacing w:val="-9"/>
              </w:rPr>
              <w:t>867</w:t>
            </w:r>
          </w:p>
        </w:tc>
      </w:tr>
      <w:tr>
        <w:trPr>
          <w:trHeight w:val="290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24"/>
              <w:spacing w:before="63" w:line="217" w:lineRule="exact"/>
              <w:rPr/>
            </w:pPr>
            <w:r>
              <w:rPr>
                <w:color w:val="231F20"/>
                <w:spacing w:val="-9"/>
              </w:rPr>
              <w:t>山</w:t>
            </w:r>
            <w:r>
              <w:rPr>
                <w:color w:val="231F20"/>
                <w:spacing w:val="5"/>
              </w:rPr>
              <w:t xml:space="preserve">    </w:t>
            </w:r>
            <w:r>
              <w:rPr>
                <w:color w:val="231F20"/>
                <w:spacing w:val="-9"/>
              </w:rPr>
              <w:t>东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4"/>
              <w:spacing w:before="58" w:line="222" w:lineRule="exact"/>
              <w:rPr/>
            </w:pPr>
            <w:r>
              <w:rPr>
                <w:color w:val="231F20"/>
                <w:spacing w:val="-10"/>
              </w:rPr>
              <w:t>3598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5"/>
              <w:spacing w:before="58" w:line="222" w:lineRule="exact"/>
              <w:rPr/>
            </w:pPr>
            <w:r>
              <w:rPr>
                <w:color w:val="231F20"/>
                <w:spacing w:val="-9"/>
              </w:rPr>
              <w:t>820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22"/>
              <w:spacing w:before="58" w:line="222" w:lineRule="exact"/>
              <w:rPr/>
            </w:pPr>
            <w:r>
              <w:rPr>
                <w:color w:val="231F20"/>
                <w:spacing w:val="-9"/>
              </w:rPr>
              <w:t>2028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5"/>
              <w:spacing w:before="58" w:line="222" w:lineRule="exact"/>
              <w:rPr/>
            </w:pPr>
            <w:r>
              <w:rPr>
                <w:color w:val="231F20"/>
                <w:spacing w:val="-7"/>
              </w:rPr>
              <w:t>57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3"/>
              <w:spacing w:before="58" w:line="222" w:lineRule="exact"/>
              <w:rPr/>
            </w:pPr>
            <w:r>
              <w:rPr>
                <w:color w:val="231F20"/>
                <w:spacing w:val="-9"/>
              </w:rPr>
              <w:t>693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0"/>
              <w:spacing w:before="65" w:line="214" w:lineRule="exact"/>
              <w:rPr/>
            </w:pPr>
            <w:r>
              <w:rPr>
                <w:color w:val="231F20"/>
                <w:spacing w:val="-2"/>
              </w:rPr>
              <w:t>北</w:t>
            </w:r>
            <w:r>
              <w:rPr>
                <w:color w:val="231F20"/>
                <w:spacing w:val="5"/>
              </w:rPr>
              <w:t xml:space="preserve">    </w:t>
            </w:r>
            <w:r>
              <w:rPr>
                <w:color w:val="231F20"/>
                <w:spacing w:val="-2"/>
              </w:rPr>
              <w:t>京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4"/>
              <w:spacing w:before="58" w:line="221" w:lineRule="exact"/>
              <w:rPr/>
            </w:pPr>
            <w:r>
              <w:rPr>
                <w:color w:val="231F20"/>
                <w:spacing w:val="-10"/>
              </w:rPr>
              <w:t>3549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4"/>
              <w:spacing w:before="58" w:line="221" w:lineRule="exact"/>
              <w:rPr/>
            </w:pPr>
            <w:r>
              <w:rPr>
                <w:color w:val="231F20"/>
                <w:spacing w:val="-9"/>
              </w:rPr>
              <w:t>526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22"/>
              <w:spacing w:before="58" w:line="221" w:lineRule="exact"/>
              <w:rPr/>
            </w:pPr>
            <w:r>
              <w:rPr>
                <w:color w:val="231F20"/>
                <w:spacing w:val="-9"/>
              </w:rPr>
              <w:t>2382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2"/>
              <w:spacing w:before="58" w:line="221" w:lineRule="exact"/>
              <w:rPr/>
            </w:pPr>
            <w:r>
              <w:rPr>
                <w:color w:val="231F20"/>
                <w:spacing w:val="-6"/>
              </w:rPr>
              <w:t>40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3"/>
              <w:spacing w:before="58" w:line="221" w:lineRule="exact"/>
              <w:rPr/>
            </w:pPr>
            <w:r>
              <w:rPr>
                <w:color w:val="231F20"/>
                <w:spacing w:val="-9"/>
              </w:rPr>
              <w:t>601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1"/>
              <w:spacing w:before="66" w:line="213" w:lineRule="exact"/>
              <w:rPr/>
            </w:pPr>
            <w:r>
              <w:rPr>
                <w:color w:val="231F20"/>
                <w:spacing w:val="-3"/>
              </w:rPr>
              <w:t>浙</w:t>
            </w:r>
            <w:r>
              <w:rPr>
                <w:color w:val="231F20"/>
                <w:spacing w:val="6"/>
              </w:rPr>
              <w:t xml:space="preserve">    </w:t>
            </w:r>
            <w:r>
              <w:rPr>
                <w:color w:val="231F20"/>
                <w:spacing w:val="-3"/>
              </w:rPr>
              <w:t>江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4"/>
              <w:spacing w:before="59" w:line="220" w:lineRule="exact"/>
              <w:rPr/>
            </w:pPr>
            <w:r>
              <w:rPr>
                <w:color w:val="231F20"/>
                <w:spacing w:val="-10"/>
              </w:rPr>
              <w:t>3524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59" w:line="220" w:lineRule="exact"/>
              <w:rPr/>
            </w:pPr>
            <w:r>
              <w:rPr>
                <w:color w:val="231F20"/>
                <w:spacing w:val="-9"/>
              </w:rPr>
              <w:t>957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36"/>
              <w:spacing w:before="59" w:line="220" w:lineRule="exact"/>
              <w:rPr/>
            </w:pPr>
            <w:r>
              <w:rPr>
                <w:color w:val="231F20"/>
                <w:spacing w:val="-12"/>
              </w:rPr>
              <w:t>1969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5"/>
              <w:spacing w:before="59" w:line="220" w:lineRule="exact"/>
              <w:rPr/>
            </w:pPr>
            <w:r>
              <w:rPr>
                <w:color w:val="231F20"/>
                <w:spacing w:val="-7"/>
              </w:rPr>
              <w:t>60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3"/>
              <w:spacing w:before="59" w:line="220" w:lineRule="exact"/>
              <w:rPr/>
            </w:pPr>
            <w:r>
              <w:rPr>
                <w:color w:val="231F20"/>
                <w:spacing w:val="-9"/>
              </w:rPr>
              <w:t>538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29"/>
              <w:spacing w:before="67" w:line="212" w:lineRule="exact"/>
              <w:rPr/>
            </w:pPr>
            <w:r>
              <w:rPr>
                <w:color w:val="231F20"/>
                <w:spacing w:val="-12"/>
              </w:rPr>
              <w:t>四</w:t>
            </w:r>
            <w:r>
              <w:rPr>
                <w:color w:val="231F20"/>
                <w:spacing w:val="5"/>
              </w:rPr>
              <w:t xml:space="preserve">    </w:t>
            </w:r>
            <w:r>
              <w:rPr>
                <w:color w:val="231F20"/>
                <w:spacing w:val="-12"/>
              </w:rPr>
              <w:t>川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1"/>
              <w:spacing w:before="60" w:line="219" w:lineRule="exact"/>
              <w:rPr/>
            </w:pPr>
            <w:r>
              <w:rPr>
                <w:color w:val="231F20"/>
                <w:spacing w:val="-9"/>
              </w:rPr>
              <w:t>2811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4"/>
              <w:spacing w:before="60" w:line="219" w:lineRule="exact"/>
              <w:rPr/>
            </w:pPr>
            <w:r>
              <w:rPr>
                <w:color w:val="231F20"/>
                <w:spacing w:val="-9"/>
              </w:rPr>
              <w:t>683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36"/>
              <w:spacing w:before="60" w:line="219" w:lineRule="exact"/>
              <w:rPr/>
            </w:pPr>
            <w:r>
              <w:rPr>
                <w:color w:val="231F20"/>
                <w:spacing w:val="-12"/>
              </w:rPr>
              <w:t>1532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5"/>
              <w:spacing w:before="60" w:line="219" w:lineRule="exact"/>
              <w:rPr/>
            </w:pPr>
            <w:r>
              <w:rPr>
                <w:color w:val="231F20"/>
                <w:spacing w:val="-7"/>
              </w:rPr>
              <w:t>50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3"/>
              <w:spacing w:before="60" w:line="219" w:lineRule="exact"/>
              <w:rPr/>
            </w:pPr>
            <w:r>
              <w:rPr>
                <w:color w:val="231F20"/>
                <w:spacing w:val="-9"/>
              </w:rPr>
              <w:t>546</w:t>
            </w:r>
          </w:p>
        </w:tc>
      </w:tr>
      <w:tr>
        <w:trPr>
          <w:trHeight w:val="288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1"/>
              <w:spacing w:before="68" w:line="210" w:lineRule="exact"/>
              <w:rPr/>
            </w:pPr>
            <w:r>
              <w:rPr>
                <w:color w:val="231F20"/>
                <w:spacing w:val="-3"/>
                <w:position w:val="-1"/>
              </w:rPr>
              <w:t>上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3"/>
                <w:position w:val="-1"/>
              </w:rPr>
              <w:t>海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1"/>
              <w:spacing w:before="61" w:line="217" w:lineRule="exact"/>
              <w:rPr/>
            </w:pPr>
            <w:r>
              <w:rPr>
                <w:color w:val="231F20"/>
                <w:spacing w:val="-9"/>
              </w:rPr>
              <w:t>2751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4"/>
              <w:spacing w:before="61" w:line="217" w:lineRule="exact"/>
              <w:rPr/>
            </w:pPr>
            <w:r>
              <w:rPr>
                <w:color w:val="231F20"/>
                <w:spacing w:val="-9"/>
              </w:rPr>
              <w:t>657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36"/>
              <w:spacing w:before="61" w:line="217" w:lineRule="exact"/>
              <w:rPr/>
            </w:pPr>
            <w:r>
              <w:rPr>
                <w:color w:val="231F20"/>
                <w:spacing w:val="-12"/>
              </w:rPr>
              <w:t>1636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5"/>
              <w:spacing w:before="61" w:line="217" w:lineRule="exact"/>
              <w:rPr/>
            </w:pPr>
            <w:r>
              <w:rPr>
                <w:color w:val="231F20"/>
                <w:spacing w:val="-7"/>
              </w:rPr>
              <w:t>54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49"/>
              <w:spacing w:before="61" w:line="217" w:lineRule="exact"/>
              <w:rPr/>
            </w:pPr>
            <w:r>
              <w:rPr>
                <w:color w:val="231F20"/>
                <w:spacing w:val="-8"/>
              </w:rPr>
              <w:t>405</w:t>
            </w:r>
          </w:p>
        </w:tc>
      </w:tr>
      <w:tr>
        <w:trPr>
          <w:trHeight w:val="293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0"/>
              <w:spacing w:before="67" w:line="216" w:lineRule="exact"/>
              <w:rPr/>
            </w:pPr>
            <w:r>
              <w:rPr>
                <w:color w:val="231F20"/>
                <w:spacing w:val="-2"/>
              </w:rPr>
              <w:t>河</w:t>
            </w:r>
            <w:r>
              <w:rPr>
                <w:color w:val="231F20"/>
                <w:spacing w:val="5"/>
              </w:rPr>
              <w:t xml:space="preserve">    </w:t>
            </w:r>
            <w:r>
              <w:rPr>
                <w:color w:val="231F20"/>
                <w:spacing w:val="-2"/>
              </w:rPr>
              <w:t>南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1"/>
              <w:spacing w:before="63" w:line="220" w:lineRule="exact"/>
              <w:rPr/>
            </w:pPr>
            <w:r>
              <w:rPr>
                <w:color w:val="231F20"/>
                <w:spacing w:val="-9"/>
              </w:rPr>
              <w:t>2702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4"/>
              <w:spacing w:before="63" w:line="220" w:lineRule="exact"/>
              <w:rPr/>
            </w:pPr>
            <w:r>
              <w:rPr>
                <w:color w:val="231F20"/>
                <w:spacing w:val="-9"/>
              </w:rPr>
              <w:t>647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36"/>
              <w:spacing w:before="63" w:line="220" w:lineRule="exact"/>
              <w:rPr/>
            </w:pPr>
            <w:r>
              <w:rPr>
                <w:color w:val="231F20"/>
                <w:spacing w:val="-12"/>
              </w:rPr>
              <w:t>1549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2"/>
              <w:spacing w:before="63" w:line="220" w:lineRule="exact"/>
              <w:rPr/>
            </w:pPr>
            <w:r>
              <w:rPr>
                <w:color w:val="231F20"/>
                <w:spacing w:val="-6"/>
              </w:rPr>
              <w:t>40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49"/>
              <w:spacing w:before="63" w:line="220" w:lineRule="exact"/>
              <w:rPr/>
            </w:pPr>
            <w:r>
              <w:rPr>
                <w:color w:val="231F20"/>
                <w:spacing w:val="-8"/>
              </w:rPr>
              <w:t>466</w:t>
            </w:r>
          </w:p>
        </w:tc>
      </w:tr>
      <w:tr>
        <w:trPr>
          <w:trHeight w:val="285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0"/>
              <w:spacing w:before="69" w:line="206" w:lineRule="exact"/>
              <w:rPr/>
            </w:pPr>
            <w:r>
              <w:rPr>
                <w:color w:val="231F20"/>
                <w:spacing w:val="-2"/>
                <w:position w:val="-1"/>
              </w:rPr>
              <w:t>河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2"/>
                <w:position w:val="-1"/>
              </w:rPr>
              <w:t>北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1"/>
              <w:spacing w:before="60" w:line="215" w:lineRule="exact"/>
              <w:rPr/>
            </w:pPr>
            <w:r>
              <w:rPr>
                <w:color w:val="231F20"/>
                <w:spacing w:val="-9"/>
              </w:rPr>
              <w:t>2382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4"/>
              <w:spacing w:before="60" w:line="215" w:lineRule="exact"/>
              <w:rPr/>
            </w:pPr>
            <w:r>
              <w:rPr>
                <w:color w:val="231F20"/>
                <w:spacing w:val="-9"/>
              </w:rPr>
              <w:t>650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36"/>
              <w:spacing w:before="60" w:line="215" w:lineRule="exact"/>
              <w:rPr/>
            </w:pPr>
            <w:r>
              <w:rPr>
                <w:color w:val="231F20"/>
                <w:spacing w:val="-12"/>
              </w:rPr>
              <w:t>1289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7"/>
              <w:spacing w:before="60" w:line="215" w:lineRule="exact"/>
              <w:rPr/>
            </w:pPr>
            <w:r>
              <w:rPr>
                <w:color w:val="231F20"/>
                <w:spacing w:val="-8"/>
              </w:rPr>
              <w:t>36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49"/>
              <w:spacing w:before="60" w:line="215" w:lineRule="exact"/>
              <w:rPr/>
            </w:pPr>
            <w:r>
              <w:rPr>
                <w:color w:val="231F20"/>
                <w:spacing w:val="-8"/>
              </w:rPr>
              <w:t>408</w:t>
            </w:r>
          </w:p>
        </w:tc>
      </w:tr>
      <w:tr>
        <w:trPr>
          <w:trHeight w:val="294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68" w:line="216" w:lineRule="exact"/>
              <w:rPr/>
            </w:pPr>
            <w:r>
              <w:rPr>
                <w:color w:val="231F20"/>
                <w:spacing w:val="-3"/>
              </w:rPr>
              <w:t>湖</w:t>
            </w:r>
            <w:r>
              <w:rPr>
                <w:color w:val="231F20"/>
                <w:spacing w:val="5"/>
              </w:rPr>
              <w:t xml:space="preserve">    </w:t>
            </w:r>
            <w:r>
              <w:rPr>
                <w:color w:val="231F20"/>
                <w:spacing w:val="-3"/>
              </w:rPr>
              <w:t>北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61"/>
              <w:spacing w:before="65" w:line="219" w:lineRule="exact"/>
              <w:rPr/>
            </w:pPr>
            <w:r>
              <w:rPr>
                <w:color w:val="231F20"/>
                <w:spacing w:val="-9"/>
              </w:rPr>
              <w:t>2251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0"/>
              <w:spacing w:before="65" w:line="219" w:lineRule="exact"/>
              <w:rPr/>
            </w:pPr>
            <w:r>
              <w:rPr>
                <w:color w:val="231F20"/>
                <w:spacing w:val="-8"/>
              </w:rPr>
              <w:t>488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436"/>
              <w:spacing w:before="65" w:line="219" w:lineRule="exact"/>
              <w:rPr/>
            </w:pPr>
            <w:r>
              <w:rPr>
                <w:color w:val="231F20"/>
                <w:spacing w:val="-12"/>
              </w:rPr>
              <w:t>1281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7"/>
              <w:spacing w:before="65" w:line="219" w:lineRule="exact"/>
              <w:rPr/>
            </w:pPr>
            <w:r>
              <w:rPr>
                <w:color w:val="231F20"/>
                <w:spacing w:val="-8"/>
              </w:rPr>
              <w:t>35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49"/>
              <w:spacing w:before="65" w:line="219" w:lineRule="exact"/>
              <w:rPr/>
            </w:pPr>
            <w:r>
              <w:rPr>
                <w:color w:val="231F20"/>
                <w:spacing w:val="-8"/>
              </w:rPr>
              <w:t>448</w:t>
            </w:r>
          </w:p>
        </w:tc>
      </w:tr>
      <w:tr>
        <w:trPr>
          <w:trHeight w:val="286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67" w:line="208" w:lineRule="exact"/>
              <w:rPr/>
            </w:pPr>
            <w:r>
              <w:rPr>
                <w:color w:val="231F20"/>
                <w:spacing w:val="-3"/>
                <w:position w:val="-1"/>
              </w:rPr>
              <w:t>深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3"/>
                <w:position w:val="-1"/>
              </w:rPr>
              <w:t>圳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1" w:line="214" w:lineRule="exact"/>
              <w:rPr/>
            </w:pPr>
            <w:r>
              <w:rPr>
                <w:color w:val="231F20"/>
                <w:spacing w:val="-12"/>
              </w:rPr>
              <w:t>1958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4"/>
              <w:spacing w:before="61" w:line="214" w:lineRule="exact"/>
              <w:rPr/>
            </w:pPr>
            <w:r>
              <w:rPr>
                <w:color w:val="231F20"/>
                <w:spacing w:val="-9"/>
              </w:rPr>
              <w:t>508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1"/>
              <w:spacing w:before="61" w:line="214" w:lineRule="exact"/>
              <w:rPr/>
            </w:pPr>
            <w:r>
              <w:rPr>
                <w:color w:val="231F20"/>
                <w:spacing w:val="-9"/>
              </w:rPr>
              <w:t>985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7"/>
              <w:spacing w:before="61" w:line="214" w:lineRule="exact"/>
              <w:rPr/>
            </w:pPr>
            <w:r>
              <w:rPr>
                <w:color w:val="231F20"/>
                <w:spacing w:val="-8"/>
              </w:rPr>
              <w:t>37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49"/>
              <w:spacing w:before="61" w:line="214" w:lineRule="exact"/>
              <w:rPr/>
            </w:pPr>
            <w:r>
              <w:rPr>
                <w:color w:val="231F20"/>
                <w:spacing w:val="-8"/>
              </w:rPr>
              <w:t>428</w:t>
            </w:r>
          </w:p>
        </w:tc>
      </w:tr>
      <w:tr>
        <w:trPr>
          <w:trHeight w:val="293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68" w:line="214" w:lineRule="exact"/>
              <w:rPr/>
            </w:pPr>
            <w:r>
              <w:rPr>
                <w:color w:val="231F20"/>
                <w:spacing w:val="-3"/>
              </w:rPr>
              <w:t>湖</w:t>
            </w:r>
            <w:r>
              <w:rPr>
                <w:color w:val="231F20"/>
                <w:spacing w:val="5"/>
              </w:rPr>
              <w:t xml:space="preserve">    </w:t>
            </w:r>
            <w:r>
              <w:rPr>
                <w:color w:val="231F20"/>
                <w:spacing w:val="-3"/>
              </w:rPr>
              <w:t>南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5" w:line="217" w:lineRule="exact"/>
              <w:rPr/>
            </w:pPr>
            <w:r>
              <w:rPr>
                <w:color w:val="231F20"/>
                <w:spacing w:val="-12"/>
              </w:rPr>
              <w:t>1836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0"/>
              <w:spacing w:before="65" w:line="217" w:lineRule="exact"/>
              <w:rPr/>
            </w:pPr>
            <w:r>
              <w:rPr>
                <w:color w:val="231F20"/>
                <w:spacing w:val="-8"/>
              </w:rPr>
              <w:t>493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1"/>
              <w:spacing w:before="65" w:line="217" w:lineRule="exact"/>
              <w:rPr/>
            </w:pPr>
            <w:r>
              <w:rPr>
                <w:color w:val="231F20"/>
                <w:spacing w:val="-9"/>
              </w:rPr>
              <w:t>990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7"/>
              <w:spacing w:before="65" w:line="217" w:lineRule="exact"/>
              <w:rPr/>
            </w:pPr>
            <w:r>
              <w:rPr>
                <w:color w:val="231F20"/>
                <w:spacing w:val="-8"/>
              </w:rPr>
              <w:t>34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5"/>
              <w:spacing w:before="65" w:line="217" w:lineRule="exact"/>
              <w:rPr/>
            </w:pPr>
            <w:r>
              <w:rPr>
                <w:color w:val="231F20"/>
                <w:spacing w:val="-9"/>
              </w:rPr>
              <w:t>319</w:t>
            </w:r>
          </w:p>
        </w:tc>
      </w:tr>
      <w:tr>
        <w:trPr>
          <w:trHeight w:val="287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1"/>
              <w:spacing w:before="68" w:line="209" w:lineRule="exact"/>
              <w:rPr/>
            </w:pPr>
            <w:r>
              <w:rPr>
                <w:color w:val="231F20"/>
                <w:spacing w:val="-3"/>
                <w:position w:val="-1"/>
              </w:rPr>
              <w:t>安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3"/>
                <w:position w:val="-1"/>
              </w:rPr>
              <w:t>徽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2" w:line="215" w:lineRule="exact"/>
              <w:rPr/>
            </w:pPr>
            <w:r>
              <w:rPr>
                <w:color w:val="231F20"/>
                <w:spacing w:val="-12"/>
              </w:rPr>
              <w:t>1692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4"/>
              <w:spacing w:before="62" w:line="215" w:lineRule="exact"/>
              <w:rPr/>
            </w:pPr>
            <w:r>
              <w:rPr>
                <w:color w:val="231F20"/>
                <w:spacing w:val="-9"/>
              </w:rPr>
              <w:t>549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3"/>
              <w:spacing w:before="62" w:line="215" w:lineRule="exact"/>
              <w:rPr/>
            </w:pPr>
            <w:r>
              <w:rPr>
                <w:color w:val="231F20"/>
                <w:spacing w:val="-9"/>
              </w:rPr>
              <w:t>826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4"/>
              <w:spacing w:before="62" w:line="215" w:lineRule="exact"/>
              <w:rPr/>
            </w:pPr>
            <w:r>
              <w:rPr>
                <w:color w:val="231F20"/>
                <w:spacing w:val="-7"/>
              </w:rPr>
              <w:t>27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2"/>
              <w:spacing w:before="62" w:line="215" w:lineRule="exact"/>
              <w:rPr/>
            </w:pPr>
            <w:r>
              <w:rPr>
                <w:color w:val="231F20"/>
                <w:spacing w:val="-9"/>
              </w:rPr>
              <w:t>291</w:t>
            </w:r>
          </w:p>
        </w:tc>
      </w:tr>
      <w:tr>
        <w:trPr>
          <w:trHeight w:val="291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8"/>
              <w:spacing w:before="68" w:line="212" w:lineRule="exact"/>
              <w:rPr/>
            </w:pPr>
            <w:r>
              <w:rPr>
                <w:color w:val="231F20"/>
                <w:spacing w:val="-6"/>
              </w:rPr>
              <w:t>陕</w:t>
            </w:r>
            <w:r>
              <w:rPr>
                <w:color w:val="231F20"/>
                <w:spacing w:val="6"/>
              </w:rPr>
              <w:t xml:space="preserve">    </w:t>
            </w:r>
            <w:r>
              <w:rPr>
                <w:color w:val="231F20"/>
                <w:spacing w:val="-6"/>
              </w:rPr>
              <w:t>西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5" w:line="215" w:lineRule="exact"/>
              <w:rPr/>
            </w:pPr>
            <w:r>
              <w:rPr>
                <w:color w:val="231F20"/>
                <w:spacing w:val="-12"/>
              </w:rPr>
              <w:t>1352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6"/>
              <w:spacing w:before="65" w:line="215" w:lineRule="exact"/>
              <w:rPr/>
            </w:pPr>
            <w:r>
              <w:rPr>
                <w:color w:val="231F20"/>
                <w:spacing w:val="-9"/>
              </w:rPr>
              <w:t>305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3"/>
              <w:spacing w:before="65" w:line="215" w:lineRule="exact"/>
              <w:rPr/>
            </w:pPr>
            <w:r>
              <w:rPr>
                <w:color w:val="231F20"/>
                <w:spacing w:val="-9"/>
              </w:rPr>
              <w:t>800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5" w:line="215" w:lineRule="exact"/>
              <w:rPr/>
            </w:pPr>
            <w:r>
              <w:rPr>
                <w:color w:val="231F20"/>
                <w:spacing w:val="-11"/>
              </w:rPr>
              <w:t>19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2"/>
              <w:spacing w:before="65" w:line="215" w:lineRule="exact"/>
              <w:rPr/>
            </w:pPr>
            <w:r>
              <w:rPr>
                <w:color w:val="231F20"/>
                <w:spacing w:val="-9"/>
              </w:rPr>
              <w:t>228</w:t>
            </w:r>
          </w:p>
        </w:tc>
      </w:tr>
      <w:tr>
        <w:trPr>
          <w:trHeight w:val="290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0"/>
              <w:spacing w:before="65" w:line="215" w:lineRule="exact"/>
              <w:rPr/>
            </w:pPr>
            <w:r>
              <w:rPr>
                <w:color w:val="231F20"/>
                <w:spacing w:val="-2"/>
              </w:rPr>
              <w:t>福</w:t>
            </w:r>
            <w:r>
              <w:rPr>
                <w:color w:val="231F20"/>
                <w:spacing w:val="5"/>
              </w:rPr>
              <w:t xml:space="preserve">    </w:t>
            </w:r>
            <w:r>
              <w:rPr>
                <w:color w:val="231F20"/>
                <w:spacing w:val="-2"/>
              </w:rPr>
              <w:t>建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4" w:line="216" w:lineRule="exact"/>
              <w:rPr/>
            </w:pPr>
            <w:r>
              <w:rPr>
                <w:color w:val="231F20"/>
                <w:spacing w:val="-12"/>
              </w:rPr>
              <w:t>1297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6"/>
              <w:spacing w:before="64" w:line="216" w:lineRule="exact"/>
              <w:rPr/>
            </w:pPr>
            <w:r>
              <w:rPr>
                <w:color w:val="231F20"/>
                <w:spacing w:val="-9"/>
              </w:rPr>
              <w:t>300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0"/>
              <w:spacing w:before="64" w:line="216" w:lineRule="exact"/>
              <w:rPr/>
            </w:pPr>
            <w:r>
              <w:rPr>
                <w:color w:val="231F20"/>
                <w:spacing w:val="-8"/>
              </w:rPr>
              <w:t>708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4"/>
              <w:spacing w:before="64" w:line="216" w:lineRule="exact"/>
              <w:rPr/>
            </w:pPr>
            <w:r>
              <w:rPr>
                <w:color w:val="231F20"/>
                <w:spacing w:val="-7"/>
              </w:rPr>
              <w:t>23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2"/>
              <w:spacing w:before="64" w:line="216" w:lineRule="exact"/>
              <w:rPr/>
            </w:pPr>
            <w:r>
              <w:rPr>
                <w:color w:val="231F20"/>
                <w:spacing w:val="-9"/>
              </w:rPr>
              <w:t>266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69" w:line="210" w:lineRule="exact"/>
              <w:rPr/>
            </w:pPr>
            <w:r>
              <w:rPr>
                <w:color w:val="231F20"/>
                <w:spacing w:val="-3"/>
                <w:position w:val="-1"/>
              </w:rPr>
              <w:t>辽</w:t>
            </w:r>
            <w:r>
              <w:rPr>
                <w:color w:val="231F20"/>
                <w:spacing w:val="7"/>
                <w:position w:val="-1"/>
              </w:rPr>
              <w:t xml:space="preserve">    </w:t>
            </w:r>
            <w:r>
              <w:rPr>
                <w:color w:val="231F20"/>
                <w:spacing w:val="-3"/>
                <w:position w:val="-1"/>
              </w:rPr>
              <w:t>宁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4" w:line="215" w:lineRule="exact"/>
              <w:rPr/>
            </w:pPr>
            <w:r>
              <w:rPr>
                <w:color w:val="231F20"/>
                <w:spacing w:val="-12"/>
              </w:rPr>
              <w:t>1225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6"/>
              <w:spacing w:before="64" w:line="215" w:lineRule="exact"/>
              <w:rPr/>
            </w:pPr>
            <w:r>
              <w:rPr>
                <w:color w:val="231F20"/>
                <w:spacing w:val="-9"/>
              </w:rPr>
              <w:t>349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2"/>
              <w:spacing w:before="64" w:line="215" w:lineRule="exact"/>
              <w:rPr/>
            </w:pPr>
            <w:r>
              <w:rPr>
                <w:color w:val="231F20"/>
                <w:spacing w:val="-9"/>
              </w:rPr>
              <w:t>642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4" w:line="215" w:lineRule="exact"/>
              <w:rPr/>
            </w:pPr>
            <w:r>
              <w:rPr>
                <w:color w:val="231F20"/>
                <w:spacing w:val="-11"/>
              </w:rPr>
              <w:t>16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2"/>
              <w:spacing w:before="64" w:line="215" w:lineRule="exact"/>
              <w:rPr/>
            </w:pPr>
            <w:r>
              <w:rPr>
                <w:color w:val="231F20"/>
                <w:spacing w:val="-9"/>
              </w:rPr>
              <w:t>218</w:t>
            </w:r>
          </w:p>
        </w:tc>
      </w:tr>
      <w:tr>
        <w:trPr>
          <w:trHeight w:val="292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69" w:line="213" w:lineRule="exact"/>
              <w:rPr/>
            </w:pPr>
            <w:r>
              <w:rPr>
                <w:color w:val="231F20"/>
                <w:spacing w:val="-3"/>
              </w:rPr>
              <w:t>重</w:t>
            </w:r>
            <w:r>
              <w:rPr>
                <w:color w:val="231F20"/>
                <w:spacing w:val="6"/>
              </w:rPr>
              <w:t xml:space="preserve">    </w:t>
            </w:r>
            <w:r>
              <w:rPr>
                <w:color w:val="231F20"/>
                <w:spacing w:val="-3"/>
              </w:rPr>
              <w:t>庆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5" w:line="217" w:lineRule="exact"/>
              <w:rPr/>
            </w:pPr>
            <w:r>
              <w:rPr>
                <w:color w:val="231F20"/>
                <w:spacing w:val="-12"/>
              </w:rPr>
              <w:t>1147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65" w:line="217" w:lineRule="exact"/>
              <w:rPr/>
            </w:pPr>
            <w:r>
              <w:rPr>
                <w:color w:val="231F20"/>
                <w:spacing w:val="-9"/>
              </w:rPr>
              <w:t>253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2"/>
              <w:spacing w:before="65" w:line="217" w:lineRule="exact"/>
              <w:rPr/>
            </w:pPr>
            <w:r>
              <w:rPr>
                <w:color w:val="231F20"/>
                <w:spacing w:val="-9"/>
              </w:rPr>
              <w:t>657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5" w:line="217" w:lineRule="exact"/>
              <w:rPr/>
            </w:pPr>
            <w:r>
              <w:rPr>
                <w:color w:val="231F20"/>
                <w:spacing w:val="-11"/>
              </w:rPr>
              <w:t>17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2"/>
              <w:spacing w:before="65" w:line="217" w:lineRule="exact"/>
              <w:rPr/>
            </w:pPr>
            <w:r>
              <w:rPr>
                <w:color w:val="231F20"/>
                <w:spacing w:val="-9"/>
              </w:rPr>
              <w:t>220</w:t>
            </w:r>
          </w:p>
        </w:tc>
      </w:tr>
      <w:tr>
        <w:trPr>
          <w:trHeight w:val="287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24"/>
              <w:spacing w:before="72" w:line="205" w:lineRule="exact"/>
              <w:rPr/>
            </w:pPr>
            <w:r>
              <w:rPr>
                <w:color w:val="231F20"/>
                <w:spacing w:val="-9"/>
                <w:position w:val="-3"/>
              </w:rPr>
              <w:t>山</w:t>
            </w:r>
            <w:r>
              <w:rPr>
                <w:color w:val="231F20"/>
                <w:spacing w:val="6"/>
                <w:position w:val="-3"/>
              </w:rPr>
              <w:t xml:space="preserve">    </w:t>
            </w:r>
            <w:r>
              <w:rPr>
                <w:color w:val="231F20"/>
                <w:spacing w:val="-9"/>
                <w:position w:val="-3"/>
              </w:rPr>
              <w:t>西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3" w:line="214" w:lineRule="exact"/>
              <w:rPr/>
            </w:pPr>
            <w:r>
              <w:rPr>
                <w:color w:val="231F20"/>
                <w:spacing w:val="-12"/>
              </w:rPr>
              <w:t>1145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63" w:line="214" w:lineRule="exact"/>
              <w:rPr/>
            </w:pPr>
            <w:r>
              <w:rPr>
                <w:color w:val="231F20"/>
                <w:spacing w:val="-9"/>
              </w:rPr>
              <w:t>286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2"/>
              <w:spacing w:before="63" w:line="214" w:lineRule="exact"/>
              <w:rPr/>
            </w:pPr>
            <w:r>
              <w:rPr>
                <w:color w:val="231F20"/>
                <w:spacing w:val="-9"/>
              </w:rPr>
              <w:t>664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3" w:line="214" w:lineRule="exact"/>
              <w:rPr/>
            </w:pPr>
            <w:r>
              <w:rPr>
                <w:color w:val="231F20"/>
                <w:spacing w:val="-11"/>
              </w:rPr>
              <w:t>19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67"/>
              <w:spacing w:before="63" w:line="214" w:lineRule="exact"/>
              <w:rPr/>
            </w:pPr>
            <w:r>
              <w:rPr>
                <w:color w:val="231F20"/>
                <w:spacing w:val="-12"/>
              </w:rPr>
              <w:t>176</w:t>
            </w:r>
          </w:p>
        </w:tc>
      </w:tr>
      <w:tr>
        <w:trPr>
          <w:trHeight w:val="287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4"/>
              <w:spacing w:before="75" w:line="202" w:lineRule="exact"/>
              <w:rPr/>
            </w:pPr>
            <w:r>
              <w:rPr>
                <w:color w:val="231F20"/>
                <w:spacing w:val="-4"/>
                <w:position w:val="1"/>
              </w:rPr>
              <w:t>江</w:t>
            </w:r>
            <w:r>
              <w:rPr>
                <w:color w:val="231F20"/>
                <w:spacing w:val="6"/>
                <w:position w:val="1"/>
              </w:rPr>
              <w:t xml:space="preserve">    </w:t>
            </w:r>
            <w:r>
              <w:rPr>
                <w:color w:val="231F20"/>
                <w:spacing w:val="-4"/>
                <w:position w:val="1"/>
              </w:rPr>
              <w:t>西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6" w:line="211" w:lineRule="exact"/>
              <w:rPr/>
            </w:pPr>
            <w:r>
              <w:rPr>
                <w:color w:val="231F20"/>
                <w:spacing w:val="-12"/>
              </w:rPr>
              <w:t>1092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6"/>
              <w:spacing w:before="66" w:line="211" w:lineRule="exact"/>
              <w:rPr/>
            </w:pPr>
            <w:r>
              <w:rPr>
                <w:color w:val="231F20"/>
                <w:spacing w:val="-9"/>
              </w:rPr>
              <w:t>335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2"/>
              <w:spacing w:before="66" w:line="211" w:lineRule="exact"/>
              <w:rPr/>
            </w:pPr>
            <w:r>
              <w:rPr>
                <w:color w:val="231F20"/>
                <w:spacing w:val="-9"/>
              </w:rPr>
              <w:t>558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6" w:line="211" w:lineRule="exact"/>
              <w:rPr/>
            </w:pPr>
            <w:r>
              <w:rPr>
                <w:color w:val="231F20"/>
                <w:spacing w:val="-11"/>
              </w:rPr>
              <w:t>16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67"/>
              <w:spacing w:before="66" w:line="211" w:lineRule="exact"/>
              <w:rPr/>
            </w:pPr>
            <w:r>
              <w:rPr>
                <w:color w:val="231F20"/>
                <w:spacing w:val="-12"/>
              </w:rPr>
              <w:t>183</w:t>
            </w:r>
          </w:p>
        </w:tc>
      </w:tr>
      <w:tr>
        <w:trPr>
          <w:trHeight w:val="293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73" w:line="209" w:lineRule="exact"/>
              <w:rPr/>
            </w:pPr>
            <w:r>
              <w:rPr>
                <w:color w:val="231F20"/>
                <w:spacing w:val="-2"/>
                <w:position w:val="-1"/>
              </w:rPr>
              <w:t>黑龙江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975"/>
              <w:spacing w:before="69" w:line="213" w:lineRule="exact"/>
              <w:rPr/>
            </w:pPr>
            <w:r>
              <w:rPr>
                <w:color w:val="231F20"/>
                <w:spacing w:val="-12"/>
              </w:rPr>
              <w:t>1075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69" w:line="213" w:lineRule="exact"/>
              <w:rPr/>
            </w:pPr>
            <w:r>
              <w:rPr>
                <w:color w:val="231F20"/>
                <w:spacing w:val="-9"/>
              </w:rPr>
              <w:t>264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2"/>
              <w:spacing w:before="69" w:line="213" w:lineRule="exact"/>
              <w:rPr/>
            </w:pPr>
            <w:r>
              <w:rPr>
                <w:color w:val="231F20"/>
                <w:spacing w:val="-9"/>
              </w:rPr>
              <w:t>564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9" w:line="213" w:lineRule="exact"/>
              <w:rPr/>
            </w:pPr>
            <w:r>
              <w:rPr>
                <w:color w:val="231F20"/>
                <w:spacing w:val="-11"/>
              </w:rPr>
              <w:t>13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52"/>
              <w:spacing w:before="69" w:line="213" w:lineRule="exact"/>
              <w:rPr/>
            </w:pPr>
            <w:r>
              <w:rPr>
                <w:color w:val="231F20"/>
                <w:spacing w:val="-9"/>
              </w:rPr>
              <w:t>234</w:t>
            </w:r>
          </w:p>
        </w:tc>
      </w:tr>
      <w:tr>
        <w:trPr>
          <w:trHeight w:val="288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6"/>
              <w:spacing w:before="70" w:line="207" w:lineRule="exact"/>
              <w:rPr/>
            </w:pPr>
            <w:r>
              <w:rPr>
                <w:color w:val="231F20"/>
                <w:spacing w:val="-5"/>
                <w:position w:val="-1"/>
              </w:rPr>
              <w:t>云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5"/>
                <w:position w:val="-1"/>
              </w:rPr>
              <w:t>南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2"/>
              <w:spacing w:before="65" w:line="212" w:lineRule="exact"/>
              <w:rPr/>
            </w:pPr>
            <w:r>
              <w:rPr>
                <w:color w:val="231F20"/>
                <w:spacing w:val="-9"/>
              </w:rPr>
              <w:t>870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65" w:line="212" w:lineRule="exact"/>
              <w:rPr/>
            </w:pPr>
            <w:r>
              <w:rPr>
                <w:color w:val="231F20"/>
                <w:spacing w:val="-9"/>
              </w:rPr>
              <w:t>297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4"/>
              <w:spacing w:before="65" w:line="212" w:lineRule="exact"/>
              <w:rPr/>
            </w:pPr>
            <w:r>
              <w:rPr>
                <w:color w:val="231F20"/>
                <w:spacing w:val="-9"/>
              </w:rPr>
              <w:t>380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4"/>
              <w:spacing w:before="65" w:line="212" w:lineRule="exact"/>
              <w:rPr/>
            </w:pPr>
            <w:r>
              <w:rPr>
                <w:color w:val="231F20"/>
                <w:spacing w:val="-7"/>
              </w:rPr>
              <w:t>23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67"/>
              <w:spacing w:before="65" w:line="212" w:lineRule="exact"/>
              <w:rPr/>
            </w:pPr>
            <w:r>
              <w:rPr>
                <w:color w:val="231F20"/>
                <w:spacing w:val="-12"/>
              </w:rPr>
              <w:t>170</w:t>
            </w:r>
          </w:p>
        </w:tc>
      </w:tr>
      <w:tr>
        <w:trPr>
          <w:trHeight w:val="291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29"/>
              <w:spacing w:before="71" w:line="209" w:lineRule="exact"/>
              <w:rPr/>
            </w:pPr>
            <w:r>
              <w:rPr>
                <w:color w:val="231F20"/>
                <w:spacing w:val="-6"/>
                <w:position w:val="-1"/>
              </w:rPr>
              <w:t>内蒙古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2"/>
              <w:spacing w:before="67" w:line="213" w:lineRule="exact"/>
              <w:rPr/>
            </w:pPr>
            <w:r>
              <w:rPr>
                <w:color w:val="231F20"/>
                <w:spacing w:val="-9"/>
              </w:rPr>
              <w:t>861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67" w:line="213" w:lineRule="exact"/>
              <w:rPr/>
            </w:pPr>
            <w:r>
              <w:rPr>
                <w:color w:val="231F20"/>
                <w:spacing w:val="-9"/>
              </w:rPr>
              <w:t>255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08"/>
              <w:spacing w:before="67" w:line="213" w:lineRule="exact"/>
              <w:rPr/>
            </w:pPr>
            <w:r>
              <w:rPr>
                <w:color w:val="231F20"/>
                <w:spacing w:val="-8"/>
              </w:rPr>
              <w:t>447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7" w:line="213" w:lineRule="exact"/>
              <w:rPr/>
            </w:pPr>
            <w:r>
              <w:rPr>
                <w:color w:val="231F20"/>
                <w:spacing w:val="-11"/>
              </w:rPr>
              <w:t>12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67"/>
              <w:spacing w:before="67" w:line="213" w:lineRule="exact"/>
              <w:rPr/>
            </w:pPr>
            <w:r>
              <w:rPr>
                <w:color w:val="231F20"/>
                <w:spacing w:val="-12"/>
              </w:rPr>
              <w:t>147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71" w:line="208" w:lineRule="exact"/>
              <w:rPr/>
            </w:pPr>
            <w:r>
              <w:rPr>
                <w:color w:val="231F20"/>
                <w:spacing w:val="-3"/>
                <w:position w:val="-1"/>
              </w:rPr>
              <w:t>广</w:t>
            </w:r>
            <w:r>
              <w:rPr>
                <w:color w:val="231F20"/>
                <w:spacing w:val="6"/>
                <w:position w:val="-1"/>
              </w:rPr>
              <w:t xml:space="preserve">    </w:t>
            </w:r>
            <w:r>
              <w:rPr>
                <w:color w:val="231F20"/>
                <w:spacing w:val="-3"/>
                <w:position w:val="-1"/>
              </w:rPr>
              <w:t>西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2"/>
              <w:spacing w:before="66" w:line="213" w:lineRule="exact"/>
              <w:rPr/>
            </w:pPr>
            <w:r>
              <w:rPr>
                <w:color w:val="231F20"/>
                <w:spacing w:val="-9"/>
              </w:rPr>
              <w:t>859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66" w:line="213" w:lineRule="exact"/>
              <w:rPr/>
            </w:pPr>
            <w:r>
              <w:rPr>
                <w:color w:val="231F20"/>
                <w:spacing w:val="-9"/>
              </w:rPr>
              <w:t>287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4"/>
              <w:spacing w:before="66" w:line="213" w:lineRule="exact"/>
              <w:rPr/>
            </w:pPr>
            <w:r>
              <w:rPr>
                <w:color w:val="231F20"/>
                <w:spacing w:val="-9"/>
              </w:rPr>
              <w:t>385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34"/>
              <w:spacing w:before="66" w:line="213" w:lineRule="exact"/>
              <w:rPr/>
            </w:pPr>
            <w:r>
              <w:rPr>
                <w:color w:val="231F20"/>
                <w:spacing w:val="-7"/>
              </w:rPr>
              <w:t>22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67"/>
              <w:spacing w:before="66" w:line="213" w:lineRule="exact"/>
              <w:rPr/>
            </w:pPr>
            <w:r>
              <w:rPr>
                <w:color w:val="231F20"/>
                <w:spacing w:val="-12"/>
              </w:rPr>
              <w:t>165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4"/>
              <w:spacing w:before="72" w:line="207" w:lineRule="exact"/>
              <w:rPr/>
            </w:pPr>
            <w:r>
              <w:rPr>
                <w:color w:val="231F20"/>
                <w:spacing w:val="-4"/>
                <w:position w:val="-1"/>
              </w:rPr>
              <w:t>天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4"/>
                <w:position w:val="-1"/>
              </w:rPr>
              <w:t>津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2"/>
              <w:spacing w:before="67" w:line="212" w:lineRule="exact"/>
              <w:rPr/>
            </w:pPr>
            <w:r>
              <w:rPr>
                <w:color w:val="231F20"/>
                <w:spacing w:val="-9"/>
              </w:rPr>
              <w:t>802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18"/>
              <w:spacing w:before="67" w:line="212" w:lineRule="exact"/>
              <w:rPr/>
            </w:pPr>
            <w:r>
              <w:rPr>
                <w:color w:val="231F20"/>
                <w:spacing w:val="-12"/>
              </w:rPr>
              <w:t>173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08"/>
              <w:spacing w:before="67" w:line="212" w:lineRule="exact"/>
              <w:rPr/>
            </w:pPr>
            <w:r>
              <w:rPr>
                <w:color w:val="231F20"/>
                <w:spacing w:val="-8"/>
              </w:rPr>
              <w:t>499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7" w:line="212" w:lineRule="exact"/>
              <w:rPr/>
            </w:pPr>
            <w:r>
              <w:rPr>
                <w:color w:val="231F20"/>
                <w:spacing w:val="-11"/>
              </w:rPr>
              <w:t>10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67"/>
              <w:spacing w:before="67" w:line="212" w:lineRule="exact"/>
              <w:rPr/>
            </w:pPr>
            <w:r>
              <w:rPr>
                <w:color w:val="231F20"/>
                <w:spacing w:val="-12"/>
              </w:rPr>
              <w:t>120</w:t>
            </w:r>
          </w:p>
        </w:tc>
      </w:tr>
      <w:tr>
        <w:trPr>
          <w:trHeight w:val="291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3"/>
              <w:spacing w:before="73" w:line="207" w:lineRule="exact"/>
              <w:rPr/>
            </w:pPr>
            <w:r>
              <w:rPr>
                <w:color w:val="231F20"/>
                <w:spacing w:val="-4"/>
                <w:position w:val="-1"/>
              </w:rPr>
              <w:t>吉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4"/>
                <w:position w:val="-1"/>
              </w:rPr>
              <w:t>林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49"/>
              <w:spacing w:before="68" w:line="212" w:lineRule="exact"/>
              <w:rPr/>
            </w:pPr>
            <w:r>
              <w:rPr>
                <w:color w:val="231F20"/>
                <w:spacing w:val="-8"/>
              </w:rPr>
              <w:t>798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68" w:line="212" w:lineRule="exact"/>
              <w:rPr/>
            </w:pPr>
            <w:r>
              <w:rPr>
                <w:color w:val="231F20"/>
                <w:spacing w:val="-9"/>
              </w:rPr>
              <w:t>210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08"/>
              <w:spacing w:before="68" w:line="212" w:lineRule="exact"/>
              <w:rPr/>
            </w:pPr>
            <w:r>
              <w:rPr>
                <w:color w:val="231F20"/>
                <w:spacing w:val="-8"/>
              </w:rPr>
              <w:t>428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8" w:line="212" w:lineRule="exact"/>
              <w:rPr/>
            </w:pPr>
            <w:r>
              <w:rPr>
                <w:color w:val="231F20"/>
                <w:spacing w:val="-11"/>
              </w:rPr>
              <w:t>11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67"/>
              <w:spacing w:before="68" w:line="212" w:lineRule="exact"/>
              <w:rPr/>
            </w:pPr>
            <w:r>
              <w:rPr>
                <w:color w:val="231F20"/>
                <w:spacing w:val="-12"/>
              </w:rPr>
              <w:t>150</w:t>
            </w:r>
          </w:p>
        </w:tc>
      </w:tr>
      <w:tr>
        <w:trPr>
          <w:trHeight w:val="287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09"/>
              <w:spacing w:before="74" w:line="203" w:lineRule="exact"/>
              <w:rPr/>
            </w:pPr>
            <w:r>
              <w:rPr>
                <w:color w:val="231F20"/>
                <w:spacing w:val="-2"/>
                <w:position w:val="-1"/>
              </w:rPr>
              <w:t>新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2"/>
                <w:position w:val="-1"/>
              </w:rPr>
              <w:t>疆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49"/>
              <w:spacing w:before="67" w:line="210" w:lineRule="exact"/>
              <w:rPr/>
            </w:pPr>
            <w:r>
              <w:rPr>
                <w:color w:val="231F20"/>
                <w:spacing w:val="-8"/>
              </w:rPr>
              <w:t>757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67" w:line="210" w:lineRule="exact"/>
              <w:rPr/>
            </w:pPr>
            <w:r>
              <w:rPr>
                <w:color w:val="231F20"/>
                <w:spacing w:val="-9"/>
              </w:rPr>
              <w:t>266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4"/>
              <w:spacing w:before="67" w:line="210" w:lineRule="exact"/>
              <w:rPr/>
            </w:pPr>
            <w:r>
              <w:rPr>
                <w:color w:val="231F20"/>
                <w:spacing w:val="-9"/>
              </w:rPr>
              <w:t>338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67" w:line="210" w:lineRule="exact"/>
              <w:rPr/>
            </w:pPr>
            <w:r>
              <w:rPr>
                <w:color w:val="231F20"/>
                <w:spacing w:val="-11"/>
              </w:rPr>
              <w:t>18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67"/>
              <w:spacing w:before="67" w:line="210" w:lineRule="exact"/>
              <w:rPr/>
            </w:pPr>
            <w:r>
              <w:rPr>
                <w:color w:val="231F20"/>
                <w:spacing w:val="-12"/>
              </w:rPr>
              <w:t>135</w:t>
            </w:r>
          </w:p>
        </w:tc>
      </w:tr>
      <w:tr>
        <w:trPr>
          <w:trHeight w:val="290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0"/>
              <w:spacing w:before="75" w:line="205" w:lineRule="exact"/>
              <w:rPr/>
            </w:pPr>
            <w:r>
              <w:rPr>
                <w:color w:val="231F20"/>
                <w:spacing w:val="-2"/>
                <w:position w:val="-1"/>
              </w:rPr>
              <w:t>青</w:t>
            </w:r>
            <w:r>
              <w:rPr>
                <w:color w:val="231F20"/>
                <w:spacing w:val="8"/>
                <w:position w:val="-1"/>
              </w:rPr>
              <w:t xml:space="preserve">    </w:t>
            </w:r>
            <w:r>
              <w:rPr>
                <w:color w:val="231F20"/>
                <w:spacing w:val="-2"/>
                <w:position w:val="-1"/>
              </w:rPr>
              <w:t>岛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1"/>
              <w:spacing w:before="70" w:line="210" w:lineRule="exact"/>
              <w:rPr/>
            </w:pPr>
            <w:r>
              <w:rPr>
                <w:color w:val="231F20"/>
                <w:spacing w:val="-9"/>
              </w:rPr>
              <w:t>690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18"/>
              <w:spacing w:before="70" w:line="210" w:lineRule="exact"/>
              <w:rPr/>
            </w:pPr>
            <w:r>
              <w:rPr>
                <w:color w:val="231F20"/>
                <w:spacing w:val="-12"/>
              </w:rPr>
              <w:t>161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08"/>
              <w:spacing w:before="70" w:line="210" w:lineRule="exact"/>
              <w:rPr/>
            </w:pPr>
            <w:r>
              <w:rPr>
                <w:color w:val="231F20"/>
                <w:spacing w:val="-8"/>
              </w:rPr>
              <w:t>402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70" w:line="210" w:lineRule="exact"/>
              <w:rPr/>
            </w:pPr>
            <w:r>
              <w:rPr>
                <w:color w:val="231F20"/>
                <w:spacing w:val="-11"/>
              </w:rPr>
              <w:t>12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667"/>
              <w:spacing w:before="70" w:line="210" w:lineRule="exact"/>
              <w:rPr/>
            </w:pPr>
            <w:r>
              <w:rPr>
                <w:color w:val="231F20"/>
                <w:spacing w:val="-12"/>
              </w:rPr>
              <w:t>116</w:t>
            </w:r>
          </w:p>
        </w:tc>
      </w:tr>
      <w:tr>
        <w:trPr>
          <w:trHeight w:val="290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4"/>
              <w:spacing w:before="75" w:line="205" w:lineRule="exact"/>
              <w:rPr/>
            </w:pPr>
            <w:r>
              <w:rPr>
                <w:color w:val="231F20"/>
                <w:spacing w:val="-4"/>
                <w:position w:val="-1"/>
              </w:rPr>
              <w:t>贵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4"/>
                <w:position w:val="-1"/>
              </w:rPr>
              <w:t>州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1"/>
              <w:spacing w:before="70" w:line="210" w:lineRule="exact"/>
              <w:rPr/>
            </w:pPr>
            <w:r>
              <w:rPr>
                <w:color w:val="231F20"/>
                <w:spacing w:val="-9"/>
              </w:rPr>
              <w:t>568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70" w:line="210" w:lineRule="exact"/>
              <w:rPr/>
            </w:pPr>
            <w:r>
              <w:rPr>
                <w:color w:val="231F20"/>
                <w:spacing w:val="-9"/>
              </w:rPr>
              <w:t>260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1"/>
              <w:spacing w:before="70" w:line="210" w:lineRule="exact"/>
              <w:rPr/>
            </w:pPr>
            <w:r>
              <w:rPr>
                <w:color w:val="231F20"/>
                <w:spacing w:val="-9"/>
              </w:rPr>
              <w:t>209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70" w:line="210" w:lineRule="exact"/>
              <w:rPr/>
            </w:pPr>
            <w:r>
              <w:rPr>
                <w:color w:val="231F20"/>
                <w:spacing w:val="-11"/>
              </w:rPr>
              <w:t>14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743"/>
              <w:spacing w:before="70" w:line="210" w:lineRule="exact"/>
              <w:rPr/>
            </w:pPr>
            <w:r>
              <w:rPr>
                <w:color w:val="231F20"/>
                <w:spacing w:val="-8"/>
              </w:rPr>
              <w:t>85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9"/>
              <w:spacing w:before="75" w:line="203" w:lineRule="exact"/>
              <w:rPr/>
            </w:pPr>
            <w:r>
              <w:rPr>
                <w:color w:val="231F20"/>
                <w:spacing w:val="-6"/>
                <w:position w:val="-1"/>
              </w:rPr>
              <w:t>宁</w:t>
            </w:r>
            <w:r>
              <w:rPr>
                <w:color w:val="231F20"/>
                <w:spacing w:val="6"/>
                <w:position w:val="-1"/>
              </w:rPr>
              <w:t xml:space="preserve">    </w:t>
            </w:r>
            <w:r>
              <w:rPr>
                <w:color w:val="231F20"/>
                <w:spacing w:val="-6"/>
                <w:position w:val="-1"/>
              </w:rPr>
              <w:t>波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1"/>
              <w:spacing w:before="70" w:line="208" w:lineRule="exact"/>
              <w:rPr/>
            </w:pPr>
            <w:r>
              <w:rPr>
                <w:color w:val="231F20"/>
                <w:spacing w:val="-9"/>
              </w:rPr>
              <w:t>557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03"/>
              <w:spacing w:before="70" w:line="208" w:lineRule="exact"/>
              <w:rPr/>
            </w:pPr>
            <w:r>
              <w:rPr>
                <w:color w:val="231F20"/>
                <w:spacing w:val="-9"/>
              </w:rPr>
              <w:t>210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1"/>
              <w:spacing w:before="70" w:line="208" w:lineRule="exact"/>
              <w:rPr/>
            </w:pPr>
            <w:r>
              <w:rPr>
                <w:color w:val="231F20"/>
                <w:spacing w:val="-9"/>
              </w:rPr>
              <w:t>282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70" w:line="208" w:lineRule="exact"/>
              <w:rPr/>
            </w:pPr>
            <w:r>
              <w:rPr>
                <w:color w:val="231F20"/>
                <w:spacing w:val="-11"/>
              </w:rPr>
              <w:t>10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742"/>
              <w:spacing w:before="70" w:line="208" w:lineRule="exact"/>
              <w:rPr/>
            </w:pPr>
            <w:r>
              <w:rPr>
                <w:color w:val="231F20"/>
                <w:spacing w:val="-7"/>
              </w:rPr>
              <w:t>56</w:t>
            </w:r>
          </w:p>
        </w:tc>
      </w:tr>
      <w:tr>
        <w:trPr>
          <w:trHeight w:val="290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75" w:line="205" w:lineRule="exact"/>
              <w:rPr/>
            </w:pPr>
            <w:r>
              <w:rPr>
                <w:color w:val="231F20"/>
                <w:spacing w:val="-3"/>
                <w:position w:val="-1"/>
              </w:rPr>
              <w:t>甘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3"/>
                <w:position w:val="-1"/>
              </w:rPr>
              <w:t>肃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1"/>
              <w:spacing w:before="71" w:line="209" w:lineRule="exact"/>
              <w:rPr/>
            </w:pPr>
            <w:r>
              <w:rPr>
                <w:color w:val="231F20"/>
                <w:spacing w:val="-9"/>
              </w:rPr>
              <w:t>550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18"/>
              <w:spacing w:before="71" w:line="209" w:lineRule="exact"/>
              <w:rPr/>
            </w:pPr>
            <w:r>
              <w:rPr>
                <w:color w:val="231F20"/>
                <w:spacing w:val="-12"/>
              </w:rPr>
              <w:t>158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1"/>
              <w:spacing w:before="71" w:line="209" w:lineRule="exact"/>
              <w:rPr/>
            </w:pPr>
            <w:r>
              <w:rPr>
                <w:color w:val="231F20"/>
                <w:spacing w:val="-9"/>
              </w:rPr>
              <w:t>286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649"/>
              <w:spacing w:before="71" w:line="209" w:lineRule="exact"/>
              <w:rPr/>
            </w:pPr>
            <w:r>
              <w:rPr>
                <w:color w:val="231F20"/>
                <w:spacing w:val="-11"/>
              </w:rPr>
              <w:t>11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741"/>
              <w:spacing w:before="71" w:line="209" w:lineRule="exact"/>
              <w:rPr/>
            </w:pPr>
            <w:r>
              <w:rPr>
                <w:color w:val="231F20"/>
                <w:spacing w:val="-7"/>
              </w:rPr>
              <w:t>95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4"/>
              <w:spacing w:before="77" w:line="201" w:lineRule="exact"/>
              <w:rPr/>
            </w:pPr>
            <w:r>
              <w:rPr>
                <w:color w:val="231F20"/>
                <w:spacing w:val="-4"/>
                <w:position w:val="-1"/>
              </w:rPr>
              <w:t>大</w:t>
            </w:r>
            <w:r>
              <w:rPr>
                <w:color w:val="231F20"/>
                <w:spacing w:val="6"/>
                <w:position w:val="-1"/>
              </w:rPr>
              <w:t xml:space="preserve">    </w:t>
            </w:r>
            <w:r>
              <w:rPr>
                <w:color w:val="231F20"/>
                <w:spacing w:val="-4"/>
                <w:position w:val="-1"/>
              </w:rPr>
              <w:t>连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47"/>
              <w:spacing w:before="71" w:line="207" w:lineRule="exact"/>
              <w:rPr/>
            </w:pPr>
            <w:r>
              <w:rPr>
                <w:color w:val="231F20"/>
                <w:spacing w:val="-8"/>
              </w:rPr>
              <w:t>477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92"/>
              <w:spacing w:before="71" w:line="207" w:lineRule="exact"/>
              <w:rPr/>
            </w:pPr>
            <w:r>
              <w:rPr>
                <w:color w:val="231F20"/>
                <w:spacing w:val="-7"/>
              </w:rPr>
              <w:t>99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14"/>
              <w:spacing w:before="71" w:line="207" w:lineRule="exact"/>
              <w:rPr/>
            </w:pPr>
            <w:r>
              <w:rPr>
                <w:color w:val="231F20"/>
                <w:spacing w:val="-9"/>
              </w:rPr>
              <w:t>309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724"/>
              <w:spacing w:before="71" w:line="207" w:lineRule="exact"/>
              <w:rPr/>
            </w:pPr>
            <w:r>
              <w:rPr>
                <w:color w:val="231F20"/>
              </w:rPr>
              <w:t>6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742"/>
              <w:spacing w:before="71" w:line="207" w:lineRule="exact"/>
              <w:rPr/>
            </w:pPr>
            <w:r>
              <w:rPr>
                <w:color w:val="231F20"/>
                <w:spacing w:val="-7"/>
              </w:rPr>
              <w:t>63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1"/>
              <w:spacing w:before="78" w:line="200" w:lineRule="exact"/>
              <w:rPr/>
            </w:pPr>
            <w:r>
              <w:rPr>
                <w:color w:val="231F20"/>
                <w:spacing w:val="-1"/>
                <w:position w:val="-1"/>
              </w:rPr>
              <w:t>厦     门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3"/>
              <w:spacing w:before="72" w:line="206" w:lineRule="exact"/>
              <w:rPr/>
            </w:pPr>
            <w:r>
              <w:rPr>
                <w:color w:val="231F20"/>
                <w:spacing w:val="-9"/>
              </w:rPr>
              <w:t>320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94"/>
              <w:spacing w:before="72" w:line="206" w:lineRule="exact"/>
              <w:rPr/>
            </w:pPr>
            <w:r>
              <w:rPr>
                <w:color w:val="231F20"/>
                <w:spacing w:val="-8"/>
              </w:rPr>
              <w:t>84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26"/>
              <w:spacing w:before="72" w:line="206" w:lineRule="exact"/>
              <w:rPr/>
            </w:pPr>
            <w:r>
              <w:rPr>
                <w:color w:val="231F20"/>
                <w:spacing w:val="-12"/>
              </w:rPr>
              <w:t>178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724"/>
              <w:spacing w:before="72" w:line="206" w:lineRule="exact"/>
              <w:rPr/>
            </w:pPr>
            <w:r>
              <w:rPr>
                <w:color w:val="231F20"/>
              </w:rPr>
              <w:t>5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742"/>
              <w:spacing w:before="72" w:line="206" w:lineRule="exact"/>
              <w:rPr/>
            </w:pPr>
            <w:r>
              <w:rPr>
                <w:color w:val="231F20"/>
                <w:spacing w:val="-7"/>
              </w:rPr>
              <w:t>53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9"/>
              <w:spacing w:before="79" w:line="199" w:lineRule="exact"/>
              <w:rPr/>
            </w:pPr>
            <w:r>
              <w:rPr>
                <w:color w:val="231F20"/>
                <w:spacing w:val="-6"/>
                <w:position w:val="-1"/>
              </w:rPr>
              <w:t>宁</w:t>
            </w:r>
            <w:r>
              <w:rPr>
                <w:color w:val="231F20"/>
                <w:spacing w:val="6"/>
                <w:position w:val="-1"/>
              </w:rPr>
              <w:t xml:space="preserve">    </w:t>
            </w:r>
            <w:r>
              <w:rPr>
                <w:color w:val="231F20"/>
                <w:spacing w:val="-6"/>
                <w:position w:val="-1"/>
              </w:rPr>
              <w:t>夏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0"/>
              <w:spacing w:before="73" w:line="205" w:lineRule="exact"/>
              <w:rPr/>
            </w:pPr>
            <w:r>
              <w:rPr>
                <w:color w:val="231F20"/>
                <w:spacing w:val="-9"/>
              </w:rPr>
              <w:t>255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94"/>
              <w:spacing w:before="73" w:line="205" w:lineRule="exact"/>
              <w:rPr/>
            </w:pPr>
            <w:r>
              <w:rPr>
                <w:color w:val="231F20"/>
                <w:spacing w:val="-8"/>
              </w:rPr>
              <w:t>83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526"/>
              <w:spacing w:before="73" w:line="205" w:lineRule="exact"/>
              <w:rPr/>
            </w:pPr>
            <w:r>
              <w:rPr>
                <w:color w:val="231F20"/>
                <w:spacing w:val="-12"/>
              </w:rPr>
              <w:t>130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724"/>
              <w:spacing w:before="73" w:line="205" w:lineRule="exact"/>
              <w:rPr/>
            </w:pPr>
            <w:r>
              <w:rPr>
                <w:color w:val="231F20"/>
              </w:rPr>
              <w:t>5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744"/>
              <w:spacing w:before="73" w:line="205" w:lineRule="exact"/>
              <w:rPr/>
            </w:pPr>
            <w:r>
              <w:rPr>
                <w:color w:val="231F20"/>
                <w:spacing w:val="-8"/>
              </w:rPr>
              <w:t>37</w:t>
            </w:r>
          </w:p>
        </w:tc>
      </w:tr>
      <w:tr>
        <w:trPr>
          <w:trHeight w:val="290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1"/>
              <w:spacing w:before="78" w:line="202" w:lineRule="exact"/>
              <w:rPr/>
            </w:pPr>
            <w:r>
              <w:rPr>
                <w:color w:val="231F20"/>
                <w:spacing w:val="-3"/>
                <w:position w:val="-1"/>
              </w:rPr>
              <w:t>海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3"/>
                <w:position w:val="-1"/>
              </w:rPr>
              <w:t>南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50"/>
              <w:spacing w:before="74" w:line="206" w:lineRule="exact"/>
              <w:rPr/>
            </w:pPr>
            <w:r>
              <w:rPr>
                <w:color w:val="231F20"/>
                <w:spacing w:val="-9"/>
              </w:rPr>
              <w:t>218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94"/>
              <w:spacing w:before="74" w:line="206" w:lineRule="exact"/>
              <w:rPr/>
            </w:pPr>
            <w:r>
              <w:rPr>
                <w:color w:val="231F20"/>
                <w:spacing w:val="-8"/>
              </w:rPr>
              <w:t>89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600"/>
              <w:spacing w:before="74" w:line="206" w:lineRule="exact"/>
              <w:rPr/>
            </w:pPr>
            <w:r>
              <w:rPr>
                <w:color w:val="231F20"/>
                <w:spacing w:val="-7"/>
              </w:rPr>
              <w:t>97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724"/>
              <w:spacing w:before="74" w:line="206" w:lineRule="exact"/>
              <w:rPr/>
            </w:pPr>
            <w:r>
              <w:rPr>
                <w:color w:val="231F20"/>
              </w:rPr>
              <w:t>5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741"/>
              <w:spacing w:before="74" w:line="206" w:lineRule="exact"/>
              <w:rPr/>
            </w:pPr>
            <w:r>
              <w:rPr>
                <w:color w:val="231F20"/>
                <w:spacing w:val="-7"/>
              </w:rPr>
              <w:t>28</w:t>
            </w:r>
          </w:p>
        </w:tc>
      </w:tr>
      <w:tr>
        <w:trPr>
          <w:trHeight w:val="289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0"/>
              <w:spacing w:before="79" w:line="199" w:lineRule="exact"/>
              <w:rPr/>
            </w:pPr>
            <w:r>
              <w:rPr>
                <w:color w:val="231F20"/>
                <w:spacing w:val="-2"/>
                <w:position w:val="-1"/>
              </w:rPr>
              <w:t>青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2"/>
                <w:position w:val="-1"/>
              </w:rPr>
              <w:t>海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065"/>
              <w:spacing w:before="74" w:line="204" w:lineRule="exact"/>
              <w:rPr/>
            </w:pPr>
            <w:r>
              <w:rPr>
                <w:color w:val="231F20"/>
                <w:spacing w:val="-12"/>
              </w:rPr>
              <w:t>123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93"/>
              <w:spacing w:before="74" w:line="204" w:lineRule="exact"/>
              <w:rPr/>
            </w:pPr>
            <w:r>
              <w:rPr>
                <w:color w:val="231F20"/>
                <w:spacing w:val="-7"/>
              </w:rPr>
              <w:t>52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601"/>
              <w:spacing w:before="74" w:line="204" w:lineRule="exact"/>
              <w:rPr/>
            </w:pPr>
            <w:r>
              <w:rPr>
                <w:color w:val="231F20"/>
                <w:spacing w:val="-7"/>
              </w:rPr>
              <w:t>50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726"/>
              <w:spacing w:before="74" w:line="204" w:lineRule="exact"/>
              <w:rPr/>
            </w:pPr>
            <w:r>
              <w:rPr>
                <w:color w:val="231F20"/>
              </w:rPr>
              <w:t>3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756"/>
              <w:spacing w:before="74" w:line="204" w:lineRule="exact"/>
              <w:rPr/>
            </w:pPr>
            <w:r>
              <w:rPr>
                <w:color w:val="231F20"/>
                <w:spacing w:val="-11"/>
              </w:rPr>
              <w:t>18</w:t>
            </w:r>
          </w:p>
        </w:tc>
      </w:tr>
      <w:tr>
        <w:trPr>
          <w:trHeight w:val="291" w:hRule="atLeast"/>
        </w:trPr>
        <w:tc>
          <w:tcPr>
            <w:tcW w:w="1922" w:type="dxa"/>
            <w:vAlign w:val="top"/>
          </w:tcPr>
          <w:p>
            <w:pPr>
              <w:pStyle w:val="TableText"/>
              <w:ind w:left="812"/>
              <w:spacing w:before="78" w:line="203" w:lineRule="exact"/>
              <w:rPr/>
            </w:pPr>
            <w:r>
              <w:rPr>
                <w:color w:val="231F20"/>
                <w:spacing w:val="-3"/>
                <w:position w:val="-1"/>
              </w:rPr>
              <w:t>西</w:t>
            </w:r>
            <w:r>
              <w:rPr>
                <w:color w:val="231F20"/>
                <w:spacing w:val="5"/>
                <w:position w:val="-1"/>
              </w:rPr>
              <w:t xml:space="preserve">    </w:t>
            </w:r>
            <w:r>
              <w:rPr>
                <w:color w:val="231F20"/>
                <w:spacing w:val="-3"/>
                <w:position w:val="-1"/>
              </w:rPr>
              <w:t>藏</w:t>
            </w:r>
          </w:p>
        </w:tc>
        <w:tc>
          <w:tcPr>
            <w:tcW w:w="1989" w:type="dxa"/>
            <w:vAlign w:val="top"/>
          </w:tcPr>
          <w:p>
            <w:pPr>
              <w:pStyle w:val="TableText"/>
              <w:ind w:left="1140"/>
              <w:spacing w:before="75" w:line="206" w:lineRule="exact"/>
              <w:rPr/>
            </w:pPr>
            <w:r>
              <w:rPr>
                <w:color w:val="231F20"/>
                <w:spacing w:val="-7"/>
              </w:rPr>
              <w:t>52</w:t>
            </w:r>
          </w:p>
        </w:tc>
        <w:tc>
          <w:tcPr>
            <w:tcW w:w="1294" w:type="dxa"/>
            <w:vAlign w:val="top"/>
          </w:tcPr>
          <w:p>
            <w:pPr>
              <w:pStyle w:val="TableText"/>
              <w:ind w:left="695"/>
              <w:spacing w:before="75" w:line="206" w:lineRule="exact"/>
              <w:rPr/>
            </w:pPr>
            <w:r>
              <w:rPr>
                <w:color w:val="231F20"/>
                <w:spacing w:val="-8"/>
              </w:rPr>
              <w:t>36</w:t>
            </w:r>
          </w:p>
        </w:tc>
        <w:tc>
          <w:tcPr>
            <w:tcW w:w="1111" w:type="dxa"/>
            <w:vAlign w:val="top"/>
          </w:tcPr>
          <w:p>
            <w:pPr>
              <w:pStyle w:val="TableText"/>
              <w:ind w:left="688"/>
              <w:spacing w:before="75" w:line="206" w:lineRule="exact"/>
              <w:rPr/>
            </w:pPr>
            <w:r>
              <w:rPr>
                <w:color w:val="231F20"/>
              </w:rPr>
              <w:t>7</w:t>
            </w:r>
          </w:p>
        </w:tc>
        <w:tc>
          <w:tcPr>
            <w:tcW w:w="1205" w:type="dxa"/>
            <w:vAlign w:val="top"/>
          </w:tcPr>
          <w:p>
            <w:pPr>
              <w:pStyle w:val="TableText"/>
              <w:ind w:left="726"/>
              <w:spacing w:before="75" w:line="206" w:lineRule="exact"/>
              <w:rPr/>
            </w:pPr>
            <w:r>
              <w:rPr>
                <w:color w:val="231F20"/>
              </w:rPr>
              <w:t>3</w:t>
            </w:r>
          </w:p>
        </w:tc>
        <w:tc>
          <w:tcPr>
            <w:tcW w:w="1255" w:type="dxa"/>
            <w:vAlign w:val="top"/>
          </w:tcPr>
          <w:p>
            <w:pPr>
              <w:pStyle w:val="TableText"/>
              <w:ind w:left="831"/>
              <w:spacing w:before="75" w:line="206" w:lineRule="exact"/>
              <w:rPr/>
            </w:pPr>
            <w:r>
              <w:rPr>
                <w:color w:val="231F20"/>
              </w:rPr>
              <w:t>6</w:t>
            </w:r>
          </w:p>
        </w:tc>
      </w:tr>
      <w:tr>
        <w:trPr>
          <w:trHeight w:val="300" w:hRule="atLeast"/>
        </w:trPr>
        <w:tc>
          <w:tcPr>
            <w:tcW w:w="1922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719"/>
              <w:spacing w:before="79" w:line="211" w:lineRule="exact"/>
              <w:rPr/>
            </w:pPr>
            <w:r>
              <w:rPr>
                <w:color w:val="231F20"/>
                <w:spacing w:val="-1"/>
                <w:position w:val="-1"/>
              </w:rPr>
              <w:t>公司本级</w:t>
            </w:r>
          </w:p>
        </w:tc>
        <w:tc>
          <w:tcPr>
            <w:tcW w:w="1989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1243"/>
              <w:spacing w:before="74" w:line="216" w:lineRule="exact"/>
              <w:rPr/>
            </w:pPr>
            <w:r>
              <w:rPr>
                <w:color w:val="231F20"/>
              </w:rPr>
              <w:t>1</w:t>
            </w:r>
          </w:p>
        </w:tc>
        <w:tc>
          <w:tcPr>
            <w:tcW w:w="1294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86"/>
              <w:spacing w:before="74" w:line="216" w:lineRule="exact"/>
              <w:rPr/>
            </w:pPr>
            <w:r>
              <w:rPr>
                <w:color w:val="231F20"/>
                <w:spacing w:val="8"/>
              </w:rPr>
              <w:t>-2</w:t>
            </w:r>
          </w:p>
        </w:tc>
        <w:tc>
          <w:tcPr>
            <w:tcW w:w="1111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689"/>
              <w:spacing w:before="74" w:line="216" w:lineRule="exact"/>
              <w:rPr/>
            </w:pPr>
            <w:r>
              <w:rPr>
                <w:color w:val="231F20"/>
              </w:rPr>
              <w:t>0</w:t>
            </w:r>
          </w:p>
        </w:tc>
        <w:tc>
          <w:tcPr>
            <w:tcW w:w="120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738"/>
              <w:spacing w:before="74" w:line="216" w:lineRule="exact"/>
              <w:rPr/>
            </w:pPr>
            <w:r>
              <w:rPr>
                <w:color w:val="231F20"/>
              </w:rPr>
              <w:t>1</w:t>
            </w:r>
          </w:p>
        </w:tc>
        <w:tc>
          <w:tcPr>
            <w:tcW w:w="1255" w:type="dxa"/>
            <w:vAlign w:val="top"/>
            <w:tcBorders>
              <w:bottom w:val="single" w:color="231F20" w:sz="8" w:space="0"/>
            </w:tcBorders>
          </w:tcPr>
          <w:p>
            <w:pPr>
              <w:pStyle w:val="TableText"/>
              <w:ind w:left="830"/>
              <w:spacing w:before="74" w:line="216" w:lineRule="exact"/>
              <w:rPr/>
            </w:pPr>
            <w:r>
              <w:rPr>
                <w:color w:val="231F20"/>
              </w:rPr>
              <w:t>2</w:t>
            </w:r>
          </w:p>
        </w:tc>
      </w:tr>
    </w:tbl>
    <w:p>
      <w:pPr>
        <w:pStyle w:val="BodyText"/>
        <w:ind w:left="352"/>
        <w:spacing w:before="166"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注：①</w:t>
      </w:r>
      <w:r>
        <w:rPr>
          <w:sz w:val="18"/>
          <w:szCs w:val="18"/>
          <w:color w:val="231F20"/>
          <w:spacing w:val="22"/>
        </w:rPr>
        <w:t xml:space="preserve"> </w:t>
      </w:r>
      <w:r>
        <w:rPr>
          <w:sz w:val="18"/>
          <w:szCs w:val="18"/>
          <w:color w:val="231F20"/>
          <w:spacing w:val="-2"/>
        </w:rPr>
        <w:t>公司本级是指公司开展的业务，不计入任何地区。</w:t>
      </w:r>
    </w:p>
    <w:p>
      <w:pPr>
        <w:pStyle w:val="BodyText"/>
        <w:ind w:left="14" w:firstLine="693"/>
        <w:spacing w:before="1" w:line="166" w:lineRule="auto"/>
        <w:rPr>
          <w:sz w:val="18"/>
          <w:szCs w:val="18"/>
        </w:rPr>
      </w:pPr>
      <w:r>
        <w:rPr>
          <w:sz w:val="18"/>
          <w:szCs w:val="18"/>
          <w:color w:val="231F20"/>
        </w:rPr>
        <w:t>②</w:t>
      </w:r>
      <w:r>
        <w:rPr>
          <w:sz w:val="18"/>
          <w:szCs w:val="18"/>
          <w:color w:val="231F20"/>
          <w:spacing w:val="34"/>
          <w:w w:val="101"/>
        </w:rPr>
        <w:t xml:space="preserve"> </w:t>
      </w:r>
      <w:r>
        <w:rPr>
          <w:sz w:val="18"/>
          <w:szCs w:val="18"/>
          <w:color w:val="231F20"/>
        </w:rPr>
        <w:t>本表数据是保险业执行《关于印发〈保险合同相关会计处理规定〉的通知》（财会〔</w:t>
      </w:r>
      <w:r>
        <w:rPr>
          <w:sz w:val="18"/>
          <w:szCs w:val="18"/>
          <w:color w:val="231F20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8"/>
          <w:szCs w:val="18"/>
          <w:color w:val="231F20"/>
        </w:rPr>
        <w:t>20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09 </w:t>
      </w:r>
      <w:r>
        <w:rPr>
          <w:sz w:val="18"/>
          <w:szCs w:val="18"/>
          <w:color w:val="231F20"/>
          <w:spacing w:val="-1"/>
        </w:rPr>
        <w:t>〕</w:t>
      </w:r>
      <w:r>
        <w:rPr>
          <w:rFonts w:ascii="Times New Roman" w:hAnsi="Times New Roman" w:eastAsia="Times New Roman" w:cs="Times New Roman"/>
          <w:sz w:val="18"/>
          <w:szCs w:val="18"/>
          <w:color w:val="231F20"/>
          <w:spacing w:val="-1"/>
        </w:rPr>
        <w:t>15</w:t>
      </w:r>
      <w:r>
        <w:rPr>
          <w:sz w:val="18"/>
          <w:szCs w:val="18"/>
          <w:color w:val="231F20"/>
          <w:spacing w:val="-1"/>
        </w:rPr>
        <w:t>号）</w:t>
      </w:r>
      <w:r>
        <w:rPr>
          <w:sz w:val="18"/>
          <w:szCs w:val="18"/>
          <w:color w:val="231F20"/>
        </w:rPr>
        <w:t xml:space="preserve"> </w:t>
      </w:r>
      <w:r>
        <w:rPr>
          <w:sz w:val="18"/>
          <w:szCs w:val="18"/>
          <w:color w:val="231F20"/>
          <w:spacing w:val="-2"/>
        </w:rPr>
        <w:t>后，各保险公司按照相关口径要求报送的数据。</w:t>
      </w:r>
    </w:p>
    <w:p>
      <w:pPr>
        <w:pStyle w:val="BodyText"/>
        <w:ind w:left="703"/>
        <w:spacing w:line="166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2"/>
        </w:rPr>
        <w:t>③</w:t>
      </w:r>
      <w:r>
        <w:rPr>
          <w:sz w:val="18"/>
          <w:szCs w:val="18"/>
          <w:color w:val="231F20"/>
          <w:spacing w:val="43"/>
          <w:w w:val="101"/>
        </w:rPr>
        <w:t xml:space="preserve"> </w:t>
      </w:r>
      <w:r>
        <w:rPr>
          <w:sz w:val="18"/>
          <w:szCs w:val="18"/>
          <w:color w:val="231F20"/>
          <w:spacing w:val="-2"/>
        </w:rPr>
        <w:t>由于计算的四舍五入及单位换算原因，各地区之和与合计略有差异。</w:t>
      </w:r>
    </w:p>
    <w:p>
      <w:pPr>
        <w:pStyle w:val="BodyText"/>
        <w:ind w:left="354"/>
        <w:spacing w:before="1" w:line="197" w:lineRule="auto"/>
        <w:rPr>
          <w:sz w:val="18"/>
          <w:szCs w:val="18"/>
        </w:rPr>
      </w:pPr>
      <w:r>
        <w:rPr>
          <w:sz w:val="18"/>
          <w:szCs w:val="18"/>
          <w:color w:val="231F20"/>
          <w:spacing w:val="-3"/>
        </w:rPr>
        <w:t>数据来源：金融监管总局。</w:t>
      </w:r>
    </w:p>
    <w:p>
      <w:pPr>
        <w:spacing w:line="197" w:lineRule="auto"/>
        <w:sectPr>
          <w:headerReference w:type="default" r:id="rId412"/>
          <w:pgSz w:w="11906" w:h="16158"/>
          <w:pgMar w:top="1367" w:right="1693" w:bottom="400" w:left="1417" w:header="1044" w:footer="0" w:gutter="0"/>
        </w:sectPr>
        <w:rPr>
          <w:sz w:val="18"/>
          <w:szCs w:val="18"/>
        </w:rPr>
      </w:pPr>
    </w:p>
    <w:p>
      <w:pPr>
        <w:pStyle w:val="BodyText"/>
        <w:spacing w:line="350" w:lineRule="auto"/>
        <w:rPr/>
      </w:pPr>
      <w:r/>
    </w:p>
    <w:p>
      <w:pPr>
        <w:pStyle w:val="BodyText"/>
        <w:spacing w:line="350" w:lineRule="auto"/>
        <w:rPr/>
      </w:pPr>
      <w:r/>
    </w:p>
    <w:p>
      <w:pPr>
        <w:pStyle w:val="BodyText"/>
        <w:ind w:left="405"/>
        <w:spacing w:before="101" w:line="208" w:lineRule="auto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798976" behindDoc="0" locked="0" layoutInCell="1" allowOverlap="1">
                <wp:simplePos x="0" y="0"/>
                <wp:positionH relativeFrom="column">
                  <wp:posOffset>7986382</wp:posOffset>
                </wp:positionH>
                <wp:positionV relativeFrom="paragraph">
                  <wp:posOffset>411432</wp:posOffset>
                </wp:positionV>
                <wp:extent cx="948055" cy="277495"/>
                <wp:effectExtent l="0" t="0" r="0" b="0"/>
                <wp:wrapNone/>
                <wp:docPr id="804" name="TextBox 804"/>
                <wp:cNvGraphicFramePr/>
                <a:graphic>
                  <a:graphicData uri="http://schemas.microsoft.com/office/word/2010/wordprocessingShape">
                    <wps:wsp>
                      <wps:cNvPr id="804" name="TextBox 804"/>
                      <wps:cNvSpPr txBox="1"/>
                      <wps:spPr>
                        <a:xfrm rot="5400000">
                          <a:off x="7986382" y="411432"/>
                          <a:ext cx="948055" cy="27749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116" w:line="178" w:lineRule="auto"/>
                              <w:rPr/>
                            </w:pPr>
                            <w:r>
                              <w:rPr>
                                <w:color w:val="231F20"/>
                                <w:spacing w:val="-4"/>
                              </w:rPr>
                              <w:t>附录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   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>统计资料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2" style="position:absolute;margin-left:628.849pt;margin-top:32.3962pt;mso-position-vertical-relative:text;mso-position-horizontal-relative:text;width:74.65pt;height:21.85pt;z-index:252798976;rotation:90;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116" w:line="178" w:lineRule="auto"/>
                        <w:rPr/>
                      </w:pPr>
                      <w:r>
                        <w:rPr>
                          <w:color w:val="231F20"/>
                          <w:spacing w:val="-4"/>
                        </w:rPr>
                        <w:t>附录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   </w:t>
                      </w:r>
                      <w:r>
                        <w:rPr>
                          <w:color w:val="231F20"/>
                          <w:spacing w:val="-4"/>
                        </w:rPr>
                        <w:t>统计资料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44" style="position:absolute;margin-left:656.672pt;margin-top:6.37207pt;mso-position-vertical-relative:text;mso-position-horizontal-relative:text;width:0.5pt;height:439.4pt;z-index:252801024;" filled="false" strokecolor="#174B8B" strokeweight="0.50pt" coordsize="10,8788" coordorigin="0,0" path="m4,8787l4,0e">
            <v:stroke joinstyle="miter" miterlimit="4"/>
          </v:shape>
        </w:pict>
      </w:r>
      <w:r>
        <w:rPr>
          <w:color w:val="174B8B"/>
        </w:rPr>
        <w:t>附表</w:t>
      </w:r>
      <w:r>
        <w:rPr>
          <w:rFonts w:ascii="Times New Roman" w:hAnsi="Times New Roman" w:eastAsia="Times New Roman" w:cs="Times New Roman"/>
          <w:b/>
          <w:bCs/>
          <w:color w:val="174B8B"/>
        </w:rPr>
        <w:t>24                     </w:t>
      </w:r>
      <w:r>
        <w:rPr>
          <w:rFonts w:ascii="Times New Roman" w:hAnsi="Times New Roman" w:eastAsia="Times New Roman" w:cs="Times New Roman"/>
          <w:b/>
          <w:bCs/>
          <w:color w:val="174B8B"/>
          <w:spacing w:val="-1"/>
        </w:rPr>
        <w:t xml:space="preserve">                                                            </w:t>
      </w:r>
      <w:r>
        <w:rPr>
          <w:color w:val="174B8B"/>
          <w:spacing w:val="-1"/>
        </w:rPr>
        <w:t>支付系统业务量统计表</w:t>
      </w:r>
    </w:p>
    <w:p>
      <w:pPr>
        <w:pStyle w:val="BodyText"/>
        <w:ind w:left="10221"/>
        <w:spacing w:before="7" w:line="177" w:lineRule="auto"/>
        <w:rPr/>
      </w:pPr>
      <w:r>
        <w:rPr>
          <w:color w:val="231F20"/>
          <w:spacing w:val="-1"/>
        </w:rPr>
        <w:t>单位：亿笔，万亿元</w:t>
      </w:r>
    </w:p>
    <w:p>
      <w:pPr>
        <w:spacing w:line="44" w:lineRule="exact"/>
        <w:rPr/>
      </w:pPr>
      <w:r/>
    </w:p>
    <w:tbl>
      <w:tblPr>
        <w:tblStyle w:val="TableNormal"/>
        <w:tblW w:w="12600" w:type="dxa"/>
        <w:tblInd w:w="0" w:type="dxa"/>
        <w:tblLayout w:type="fixed"/>
        <w:tblBorders>
          <w:top w:val="single" w:color="231F20" w:sz="4" w:space="0"/>
          <w:left w:val="single" w:color="231F20" w:sz="4" w:space="0"/>
          <w:bottom w:val="single" w:color="231F20" w:sz="4" w:space="0"/>
          <w:right w:val="single" w:color="231F20" w:sz="4" w:space="0"/>
          <w:insideH w:val="single" w:color="231F20" w:sz="4" w:space="0"/>
          <w:insideV w:val="single" w:color="231F20" w:sz="4" w:space="0"/>
        </w:tblBorders>
      </w:tblPr>
      <w:tblGrid>
        <w:gridCol w:w="2263"/>
        <w:gridCol w:w="1054"/>
        <w:gridCol w:w="1026"/>
        <w:gridCol w:w="969"/>
        <w:gridCol w:w="1026"/>
        <w:gridCol w:w="1026"/>
        <w:gridCol w:w="1026"/>
        <w:gridCol w:w="1026"/>
        <w:gridCol w:w="1026"/>
        <w:gridCol w:w="1080"/>
        <w:gridCol w:w="1078"/>
      </w:tblGrid>
      <w:tr>
        <w:trPr>
          <w:trHeight w:val="452" w:hRule="atLeast"/>
        </w:trPr>
        <w:tc>
          <w:tcPr>
            <w:shd w:val="clear" w:fill="D4E5F5"/>
            <w:tcW w:w="2263" w:type="dxa"/>
            <w:vAlign w:val="top"/>
            <w:vMerge w:val="restart"/>
            <w:tcBorders>
              <w:left w:val="nil"/>
              <w:top w:val="single" w:color="231F20" w:sz="8" w:space="0"/>
              <w:tl2br w:val="single" w:color="231F20" w:sz="4" w:space="0"/>
              <w:bottom w:val="nil"/>
            </w:tcBorders>
          </w:tcPr>
          <w:p>
            <w:pPr>
              <w:pStyle w:val="TableText"/>
              <w:ind w:left="173" w:right="165" w:firstLine="1564"/>
              <w:spacing w:before="248" w:line="185" w:lineRule="auto"/>
              <w:rPr/>
            </w:pPr>
            <w:r>
              <w:rPr>
                <w:color w:val="231F20"/>
                <w:spacing w:val="-3"/>
              </w:rPr>
              <w:t>年份</w:t>
            </w:r>
            <w:r>
              <w:rPr>
                <w:color w:val="231F20"/>
              </w:rPr>
              <w:t xml:space="preserve"> </w:t>
            </w:r>
            <w:r>
              <w:rPr>
                <w:color w:val="231F20"/>
                <w:spacing w:val="-1"/>
              </w:rPr>
              <w:t>项目</w:t>
            </w:r>
          </w:p>
        </w:tc>
        <w:tc>
          <w:tcPr>
            <w:shd w:val="clear" w:fill="D4E5F5"/>
            <w:tcW w:w="2080" w:type="dxa"/>
            <w:vAlign w:val="top"/>
            <w:gridSpan w:val="2"/>
            <w:tcBorders>
              <w:top w:val="single" w:color="231F20" w:sz="8" w:space="0"/>
            </w:tcBorders>
          </w:tcPr>
          <w:p>
            <w:pPr>
              <w:pStyle w:val="TableText"/>
              <w:ind w:left="860"/>
              <w:spacing w:before="131" w:line="209" w:lineRule="auto"/>
              <w:rPr/>
            </w:pPr>
            <w:r>
              <w:rPr>
                <w:color w:val="231F20"/>
                <w:spacing w:val="-9"/>
              </w:rPr>
              <w:t>2020</w:t>
            </w:r>
          </w:p>
        </w:tc>
        <w:tc>
          <w:tcPr>
            <w:shd w:val="clear" w:fill="D4E5F5"/>
            <w:tcW w:w="1995" w:type="dxa"/>
            <w:vAlign w:val="top"/>
            <w:gridSpan w:val="2"/>
            <w:tcBorders>
              <w:top w:val="single" w:color="231F20" w:sz="8" w:space="0"/>
            </w:tcBorders>
          </w:tcPr>
          <w:p>
            <w:pPr>
              <w:pStyle w:val="TableText"/>
              <w:ind w:left="818"/>
              <w:spacing w:before="131" w:line="209" w:lineRule="auto"/>
              <w:rPr/>
            </w:pPr>
            <w:r>
              <w:rPr>
                <w:color w:val="231F20"/>
                <w:spacing w:val="-9"/>
              </w:rPr>
              <w:t>2021</w:t>
            </w:r>
          </w:p>
        </w:tc>
        <w:tc>
          <w:tcPr>
            <w:shd w:val="clear" w:fill="D4E5F5"/>
            <w:tcW w:w="2052" w:type="dxa"/>
            <w:vAlign w:val="top"/>
            <w:gridSpan w:val="2"/>
            <w:tcBorders>
              <w:top w:val="single" w:color="231F20" w:sz="8" w:space="0"/>
            </w:tcBorders>
          </w:tcPr>
          <w:p>
            <w:pPr>
              <w:pStyle w:val="TableText"/>
              <w:ind w:left="847"/>
              <w:spacing w:before="131" w:line="209" w:lineRule="auto"/>
              <w:rPr/>
            </w:pPr>
            <w:r>
              <w:rPr>
                <w:color w:val="231F20"/>
                <w:spacing w:val="-9"/>
              </w:rPr>
              <w:t>2022</w:t>
            </w:r>
          </w:p>
        </w:tc>
        <w:tc>
          <w:tcPr>
            <w:shd w:val="clear" w:fill="D4E5F5"/>
            <w:tcW w:w="2052" w:type="dxa"/>
            <w:vAlign w:val="top"/>
            <w:gridSpan w:val="2"/>
            <w:tcBorders>
              <w:top w:val="single" w:color="231F20" w:sz="8" w:space="0"/>
            </w:tcBorders>
          </w:tcPr>
          <w:p>
            <w:pPr>
              <w:pStyle w:val="TableText"/>
              <w:ind w:left="847"/>
              <w:spacing w:before="131" w:line="209" w:lineRule="auto"/>
              <w:rPr/>
            </w:pPr>
            <w:r>
              <w:rPr>
                <w:color w:val="231F20"/>
                <w:spacing w:val="-9"/>
              </w:rPr>
              <w:t>2023</w:t>
            </w:r>
          </w:p>
        </w:tc>
        <w:tc>
          <w:tcPr>
            <w:shd w:val="clear" w:fill="D4E5F5"/>
            <w:tcW w:w="2158" w:type="dxa"/>
            <w:vAlign w:val="top"/>
            <w:gridSpan w:val="2"/>
            <w:tcBorders>
              <w:right w:val="nil"/>
              <w:top w:val="single" w:color="231F20" w:sz="8" w:space="0"/>
            </w:tcBorders>
          </w:tcPr>
          <w:p>
            <w:pPr>
              <w:pStyle w:val="TableText"/>
              <w:ind w:left="901"/>
              <w:spacing w:before="131" w:line="209" w:lineRule="auto"/>
              <w:rPr/>
            </w:pPr>
            <w:r>
              <w:rPr>
                <w:color w:val="231F20"/>
                <w:spacing w:val="-9"/>
              </w:rPr>
              <w:t>2024</w:t>
            </w:r>
          </w:p>
        </w:tc>
      </w:tr>
      <w:tr>
        <w:trPr>
          <w:trHeight w:val="452" w:hRule="atLeast"/>
        </w:trPr>
        <w:tc>
          <w:tcPr>
            <w:tcW w:w="2263" w:type="dxa"/>
            <w:vAlign w:val="top"/>
            <w:vMerge w:val="continue"/>
            <w:tcBorders>
              <w:left w:val="nil"/>
              <w:top w:val="nil"/>
              <w:tl2br w:val="single" w:color="231F20" w:sz="4" w:space="0"/>
            </w:tcBorders>
          </w:tcPr>
          <w:p>
            <w:pPr>
              <w:pStyle w:val="TableText"/>
              <w:rPr>
                <w:sz w:val="21"/>
              </w:rPr>
            </w:pPr>
            <w:r/>
          </w:p>
        </w:tc>
        <w:tc>
          <w:tcPr>
            <w:shd w:val="clear" w:fill="D4E5F5"/>
            <w:tcW w:w="1054" w:type="dxa"/>
            <w:vAlign w:val="top"/>
          </w:tcPr>
          <w:p>
            <w:pPr>
              <w:pStyle w:val="TableText"/>
              <w:ind w:left="346"/>
              <w:spacing w:before="137" w:line="176" w:lineRule="auto"/>
              <w:rPr/>
            </w:pPr>
            <w:r>
              <w:rPr>
                <w:color w:val="231F20"/>
                <w:spacing w:val="-2"/>
              </w:rPr>
              <w:t>笔数</w:t>
            </w:r>
          </w:p>
        </w:tc>
        <w:tc>
          <w:tcPr>
            <w:shd w:val="clear" w:fill="D4E5F5"/>
            <w:tcW w:w="1026" w:type="dxa"/>
            <w:vAlign w:val="top"/>
          </w:tcPr>
          <w:p>
            <w:pPr>
              <w:pStyle w:val="TableText"/>
              <w:ind w:left="330"/>
              <w:spacing w:before="137" w:line="175" w:lineRule="auto"/>
              <w:rPr/>
            </w:pPr>
            <w:r>
              <w:rPr>
                <w:color w:val="231F20"/>
                <w:spacing w:val="-1"/>
              </w:rPr>
              <w:t>金额</w:t>
            </w:r>
          </w:p>
        </w:tc>
        <w:tc>
          <w:tcPr>
            <w:shd w:val="clear" w:fill="D4E5F5"/>
            <w:tcW w:w="969" w:type="dxa"/>
            <w:vAlign w:val="top"/>
          </w:tcPr>
          <w:p>
            <w:pPr>
              <w:pStyle w:val="TableText"/>
              <w:ind w:left="303"/>
              <w:spacing w:before="137" w:line="176" w:lineRule="auto"/>
              <w:rPr/>
            </w:pPr>
            <w:r>
              <w:rPr>
                <w:color w:val="231F20"/>
                <w:spacing w:val="-2"/>
              </w:rPr>
              <w:t>笔数</w:t>
            </w:r>
          </w:p>
        </w:tc>
        <w:tc>
          <w:tcPr>
            <w:shd w:val="clear" w:fill="D4E5F5"/>
            <w:tcW w:w="1026" w:type="dxa"/>
            <w:vAlign w:val="top"/>
          </w:tcPr>
          <w:p>
            <w:pPr>
              <w:pStyle w:val="TableText"/>
              <w:ind w:left="331"/>
              <w:spacing w:before="137" w:line="175" w:lineRule="auto"/>
              <w:rPr/>
            </w:pPr>
            <w:r>
              <w:rPr>
                <w:color w:val="231F20"/>
                <w:spacing w:val="-1"/>
              </w:rPr>
              <w:t>金额</w:t>
            </w:r>
          </w:p>
        </w:tc>
        <w:tc>
          <w:tcPr>
            <w:shd w:val="clear" w:fill="D4E5F5"/>
            <w:tcW w:w="1026" w:type="dxa"/>
            <w:vAlign w:val="top"/>
          </w:tcPr>
          <w:p>
            <w:pPr>
              <w:pStyle w:val="TableText"/>
              <w:ind w:left="332"/>
              <w:spacing w:before="137" w:line="176" w:lineRule="auto"/>
              <w:rPr/>
            </w:pPr>
            <w:r>
              <w:rPr>
                <w:color w:val="231F20"/>
                <w:spacing w:val="-2"/>
              </w:rPr>
              <w:t>笔数</w:t>
            </w:r>
          </w:p>
        </w:tc>
        <w:tc>
          <w:tcPr>
            <w:shd w:val="clear" w:fill="D4E5F5"/>
            <w:tcW w:w="1026" w:type="dxa"/>
            <w:vAlign w:val="top"/>
          </w:tcPr>
          <w:p>
            <w:pPr>
              <w:pStyle w:val="TableText"/>
              <w:ind w:left="331"/>
              <w:spacing w:before="137" w:line="175" w:lineRule="auto"/>
              <w:rPr/>
            </w:pPr>
            <w:r>
              <w:rPr>
                <w:color w:val="231F20"/>
                <w:spacing w:val="-1"/>
              </w:rPr>
              <w:t>金额</w:t>
            </w:r>
          </w:p>
        </w:tc>
        <w:tc>
          <w:tcPr>
            <w:shd w:val="clear" w:fill="D4E5F5"/>
            <w:tcW w:w="1026" w:type="dxa"/>
            <w:vAlign w:val="top"/>
          </w:tcPr>
          <w:p>
            <w:pPr>
              <w:pStyle w:val="TableText"/>
              <w:ind w:left="333"/>
              <w:spacing w:before="137" w:line="176" w:lineRule="auto"/>
              <w:rPr/>
            </w:pPr>
            <w:r>
              <w:rPr>
                <w:color w:val="231F20"/>
                <w:spacing w:val="-2"/>
              </w:rPr>
              <w:t>笔数</w:t>
            </w:r>
          </w:p>
        </w:tc>
        <w:tc>
          <w:tcPr>
            <w:shd w:val="clear" w:fill="D4E5F5"/>
            <w:tcW w:w="1026" w:type="dxa"/>
            <w:vAlign w:val="top"/>
          </w:tcPr>
          <w:p>
            <w:pPr>
              <w:pStyle w:val="TableText"/>
              <w:ind w:left="332"/>
              <w:spacing w:before="137" w:line="175" w:lineRule="auto"/>
              <w:rPr/>
            </w:pPr>
            <w:r>
              <w:rPr>
                <w:color w:val="231F20"/>
                <w:spacing w:val="-1"/>
              </w:rPr>
              <w:t>金额</w:t>
            </w:r>
          </w:p>
        </w:tc>
        <w:tc>
          <w:tcPr>
            <w:shd w:val="clear" w:fill="D4E5F5"/>
            <w:tcW w:w="1080" w:type="dxa"/>
            <w:vAlign w:val="top"/>
          </w:tcPr>
          <w:p>
            <w:pPr>
              <w:pStyle w:val="TableText"/>
              <w:ind w:left="360"/>
              <w:spacing w:before="137" w:line="176" w:lineRule="auto"/>
              <w:rPr/>
            </w:pPr>
            <w:r>
              <w:rPr>
                <w:color w:val="231F20"/>
                <w:spacing w:val="-2"/>
              </w:rPr>
              <w:t>笔数</w:t>
            </w:r>
          </w:p>
        </w:tc>
        <w:tc>
          <w:tcPr>
            <w:shd w:val="clear" w:fill="D4E5F5"/>
            <w:tcW w:w="1078" w:type="dxa"/>
            <w:vAlign w:val="top"/>
            <w:tcBorders>
              <w:right w:val="nil"/>
            </w:tcBorders>
          </w:tcPr>
          <w:p>
            <w:pPr>
              <w:pStyle w:val="TableText"/>
              <w:ind w:left="358"/>
              <w:spacing w:before="137" w:line="175" w:lineRule="auto"/>
              <w:rPr/>
            </w:pPr>
            <w:r>
              <w:rPr>
                <w:color w:val="231F20"/>
                <w:spacing w:val="-1"/>
              </w:rPr>
              <w:t>金额</w:t>
            </w:r>
          </w:p>
        </w:tc>
      </w:tr>
      <w:tr>
        <w:trPr>
          <w:trHeight w:val="451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bottom w:val="nil"/>
            </w:tcBorders>
          </w:tcPr>
          <w:p>
            <w:pPr>
              <w:pStyle w:val="TableText"/>
              <w:ind w:left="419"/>
              <w:spacing w:before="135" w:line="180" w:lineRule="auto"/>
              <w:rPr/>
            </w:pPr>
            <w:r>
              <w:rPr>
                <w:color w:val="231F20"/>
                <w:spacing w:val="-1"/>
              </w:rPr>
              <w:t>大额实时支付系统</w:t>
            </w:r>
          </w:p>
        </w:tc>
        <w:tc>
          <w:tcPr>
            <w:tcW w:w="1054" w:type="dxa"/>
            <w:vAlign w:val="top"/>
            <w:tcBorders>
              <w:bottom w:val="nil"/>
            </w:tcBorders>
          </w:tcPr>
          <w:p>
            <w:pPr>
              <w:pStyle w:val="TableText"/>
              <w:ind w:left="458"/>
              <w:spacing w:before="134" w:line="209" w:lineRule="auto"/>
              <w:rPr/>
            </w:pPr>
            <w:r>
              <w:rPr>
                <w:color w:val="231F20"/>
                <w:spacing w:val="-8"/>
              </w:rPr>
              <w:t>5.12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</w:tcBorders>
          </w:tcPr>
          <w:p>
            <w:pPr>
              <w:pStyle w:val="TableText"/>
              <w:ind w:left="162"/>
              <w:spacing w:before="134" w:line="209" w:lineRule="auto"/>
              <w:rPr/>
            </w:pPr>
            <w:r>
              <w:rPr>
                <w:color w:val="231F20"/>
                <w:spacing w:val="-10"/>
              </w:rPr>
              <w:t>5647.73</w:t>
            </w:r>
          </w:p>
        </w:tc>
        <w:tc>
          <w:tcPr>
            <w:tcW w:w="969" w:type="dxa"/>
            <w:vAlign w:val="top"/>
            <w:tcBorders>
              <w:bottom w:val="nil"/>
            </w:tcBorders>
          </w:tcPr>
          <w:p>
            <w:pPr>
              <w:pStyle w:val="TableText"/>
              <w:ind w:left="370"/>
              <w:spacing w:before="134" w:line="209" w:lineRule="auto"/>
              <w:rPr/>
            </w:pPr>
            <w:r>
              <w:rPr>
                <w:color w:val="231F20"/>
                <w:spacing w:val="-8"/>
              </w:rPr>
              <w:t>4.82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</w:tcBorders>
          </w:tcPr>
          <w:p>
            <w:pPr>
              <w:pStyle w:val="TableText"/>
              <w:ind w:left="162"/>
              <w:spacing w:before="134" w:line="209" w:lineRule="auto"/>
              <w:rPr/>
            </w:pPr>
            <w:r>
              <w:rPr>
                <w:color w:val="231F20"/>
                <w:spacing w:val="-10"/>
              </w:rPr>
              <w:t>6171.42</w:t>
            </w:r>
          </w:p>
        </w:tc>
        <w:tc>
          <w:tcPr>
            <w:tcW w:w="1026" w:type="dxa"/>
            <w:vAlign w:val="top"/>
            <w:tcBorders>
              <w:bottom w:val="nil"/>
            </w:tcBorders>
          </w:tcPr>
          <w:p>
            <w:pPr>
              <w:pStyle w:val="TableText"/>
              <w:ind w:left="427"/>
              <w:spacing w:before="134" w:line="209" w:lineRule="auto"/>
              <w:rPr/>
            </w:pPr>
            <w:r>
              <w:rPr>
                <w:color w:val="231F20"/>
                <w:spacing w:val="-8"/>
              </w:rPr>
              <w:t>4.16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</w:tcBorders>
          </w:tcPr>
          <w:p>
            <w:pPr>
              <w:pStyle w:val="TableText"/>
              <w:ind w:left="161"/>
              <w:spacing w:before="134" w:line="209" w:lineRule="auto"/>
              <w:rPr/>
            </w:pPr>
            <w:r>
              <w:rPr>
                <w:color w:val="231F20"/>
                <w:spacing w:val="-9"/>
              </w:rPr>
              <w:t>7425.74</w:t>
            </w:r>
          </w:p>
        </w:tc>
        <w:tc>
          <w:tcPr>
            <w:tcW w:w="1026" w:type="dxa"/>
            <w:vAlign w:val="top"/>
            <w:tcBorders>
              <w:bottom w:val="nil"/>
            </w:tcBorders>
          </w:tcPr>
          <w:p>
            <w:pPr>
              <w:pStyle w:val="TableText"/>
              <w:ind w:left="433"/>
              <w:spacing w:before="134" w:line="209" w:lineRule="auto"/>
              <w:rPr/>
            </w:pPr>
            <w:r>
              <w:rPr>
                <w:color w:val="231F20"/>
                <w:spacing w:val="-9"/>
              </w:rPr>
              <w:t>3.82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</w:tcBorders>
          </w:tcPr>
          <w:p>
            <w:pPr>
              <w:pStyle w:val="TableText"/>
              <w:ind w:left="165"/>
              <w:spacing w:before="134" w:line="209" w:lineRule="auto"/>
              <w:rPr/>
            </w:pPr>
            <w:r>
              <w:rPr>
                <w:color w:val="231F20"/>
                <w:spacing w:val="-10"/>
              </w:rPr>
              <w:t>8480.95</w:t>
            </w:r>
          </w:p>
        </w:tc>
        <w:tc>
          <w:tcPr>
            <w:tcW w:w="1080" w:type="dxa"/>
            <w:vAlign w:val="top"/>
            <w:tcBorders>
              <w:bottom w:val="nil"/>
            </w:tcBorders>
          </w:tcPr>
          <w:p>
            <w:pPr>
              <w:pStyle w:val="TableText"/>
              <w:ind w:left="488"/>
              <w:spacing w:before="134" w:line="209" w:lineRule="auto"/>
              <w:rPr/>
            </w:pPr>
            <w:r>
              <w:rPr>
                <w:color w:val="231F20"/>
                <w:spacing w:val="-9"/>
              </w:rPr>
              <w:t>3.92</w:t>
            </w:r>
          </w:p>
        </w:tc>
        <w:tc>
          <w:tcPr>
            <w:shd w:val="clear" w:fill="D4E5F5"/>
            <w:tcW w:w="1078" w:type="dxa"/>
            <w:vAlign w:val="top"/>
            <w:tcBorders>
              <w:bottom w:val="nil"/>
              <w:right w:val="nil"/>
            </w:tcBorders>
          </w:tcPr>
          <w:p>
            <w:pPr>
              <w:pStyle w:val="TableText"/>
              <w:ind w:left="217"/>
              <w:spacing w:before="134" w:line="209" w:lineRule="auto"/>
              <w:rPr/>
            </w:pPr>
            <w:r>
              <w:rPr>
                <w:color w:val="231F20"/>
                <w:spacing w:val="-10"/>
              </w:rPr>
              <w:t>8824.18</w:t>
            </w:r>
          </w:p>
        </w:tc>
      </w:tr>
      <w:tr>
        <w:trPr>
          <w:trHeight w:val="462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415"/>
              <w:spacing w:before="148" w:line="180" w:lineRule="auto"/>
              <w:rPr/>
            </w:pPr>
            <w:r>
              <w:rPr>
                <w:color w:val="231F20"/>
                <w:spacing w:val="-1"/>
              </w:rPr>
              <w:t>小额批量支付系统</w:t>
            </w:r>
          </w:p>
        </w:tc>
        <w:tc>
          <w:tcPr>
            <w:tcW w:w="105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70"/>
              <w:spacing w:before="146" w:line="209" w:lineRule="auto"/>
              <w:rPr/>
            </w:pPr>
            <w:r>
              <w:rPr>
                <w:color w:val="231F20"/>
                <w:spacing w:val="-9"/>
              </w:rPr>
              <w:t>34.58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65"/>
              <w:spacing w:before="146" w:line="209" w:lineRule="auto"/>
              <w:rPr/>
            </w:pPr>
            <w:r>
              <w:rPr>
                <w:color w:val="231F20"/>
                <w:spacing w:val="-11"/>
              </w:rPr>
              <w:t>146.87</w:t>
            </w:r>
          </w:p>
        </w:tc>
        <w:tc>
          <w:tcPr>
            <w:tcW w:w="96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86"/>
              <w:spacing w:before="146" w:line="209" w:lineRule="auto"/>
              <w:rPr/>
            </w:pPr>
            <w:r>
              <w:rPr>
                <w:color w:val="231F20"/>
                <w:spacing w:val="-9"/>
              </w:rPr>
              <w:t>38.81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66"/>
              <w:spacing w:before="146" w:line="209" w:lineRule="auto"/>
              <w:rPr/>
            </w:pPr>
            <w:r>
              <w:rPr>
                <w:color w:val="231F20"/>
                <w:spacing w:val="-11"/>
              </w:rPr>
              <w:t>162.55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8"/>
              <w:spacing w:before="146" w:line="209" w:lineRule="auto"/>
              <w:rPr/>
            </w:pPr>
            <w:r>
              <w:rPr>
                <w:color w:val="231F20"/>
                <w:spacing w:val="-8"/>
              </w:rPr>
              <w:t>41.58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66"/>
              <w:spacing w:before="146" w:line="209" w:lineRule="auto"/>
              <w:rPr/>
            </w:pPr>
            <w:r>
              <w:rPr>
                <w:color w:val="231F20"/>
                <w:spacing w:val="-11"/>
              </w:rPr>
              <w:t>167.72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8"/>
              <w:spacing w:before="146" w:line="209" w:lineRule="auto"/>
              <w:rPr/>
            </w:pPr>
            <w:r>
              <w:rPr>
                <w:color w:val="231F20"/>
                <w:spacing w:val="-8"/>
              </w:rPr>
              <w:t>46.14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67"/>
              <w:spacing w:before="146" w:line="209" w:lineRule="auto"/>
              <w:rPr/>
            </w:pPr>
            <w:r>
              <w:rPr>
                <w:color w:val="231F20"/>
                <w:spacing w:val="-11"/>
              </w:rPr>
              <w:t>185.81</w:t>
            </w:r>
          </w:p>
        </w:tc>
        <w:tc>
          <w:tcPr>
            <w:tcW w:w="10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93"/>
              <w:spacing w:before="146" w:line="209" w:lineRule="auto"/>
              <w:rPr/>
            </w:pPr>
            <w:r>
              <w:rPr>
                <w:color w:val="231F20"/>
                <w:spacing w:val="-8"/>
              </w:rPr>
              <w:t>47.90</w:t>
            </w:r>
          </w:p>
        </w:tc>
        <w:tc>
          <w:tcPr>
            <w:shd w:val="clear" w:fill="D4E5F5"/>
            <w:tcW w:w="1078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319"/>
              <w:spacing w:before="146" w:line="209" w:lineRule="auto"/>
              <w:rPr/>
            </w:pPr>
            <w:r>
              <w:rPr>
                <w:color w:val="231F20"/>
                <w:spacing w:val="-11"/>
              </w:rPr>
              <w:t>198.13</w:t>
            </w:r>
          </w:p>
        </w:tc>
      </w:tr>
      <w:tr>
        <w:trPr>
          <w:trHeight w:val="462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250"/>
              <w:spacing w:before="149" w:line="180" w:lineRule="auto"/>
              <w:rPr/>
            </w:pPr>
            <w:r>
              <w:rPr>
                <w:color w:val="231F20"/>
                <w:spacing w:val="-2"/>
              </w:rPr>
              <w:t>网上支付跨行清算系统</w:t>
            </w:r>
          </w:p>
        </w:tc>
        <w:tc>
          <w:tcPr>
            <w:tcW w:w="105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93"/>
              <w:spacing w:before="148" w:line="209" w:lineRule="auto"/>
              <w:rPr/>
            </w:pPr>
            <w:r>
              <w:rPr>
                <w:color w:val="231F20"/>
                <w:spacing w:val="-11"/>
              </w:rPr>
              <w:t>156.24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50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203.49</w:t>
            </w:r>
          </w:p>
        </w:tc>
        <w:tc>
          <w:tcPr>
            <w:tcW w:w="96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09"/>
              <w:spacing w:before="148" w:line="209" w:lineRule="auto"/>
              <w:rPr/>
            </w:pPr>
            <w:r>
              <w:rPr>
                <w:color w:val="231F20"/>
                <w:spacing w:val="-11"/>
              </w:rPr>
              <w:t>174.91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51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273.76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66"/>
              <w:spacing w:before="148" w:line="209" w:lineRule="auto"/>
              <w:rPr/>
            </w:pPr>
            <w:r>
              <w:rPr>
                <w:color w:val="231F20"/>
                <w:spacing w:val="-11"/>
              </w:rPr>
              <w:t>165.52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51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278.65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66"/>
              <w:spacing w:before="148" w:line="209" w:lineRule="auto"/>
              <w:rPr/>
            </w:pPr>
            <w:r>
              <w:rPr>
                <w:color w:val="231F20"/>
                <w:spacing w:val="-11"/>
              </w:rPr>
              <w:t>169.80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55"/>
              <w:spacing w:before="148" w:line="209" w:lineRule="auto"/>
              <w:rPr/>
            </w:pPr>
            <w:r>
              <w:rPr>
                <w:color w:val="231F20"/>
                <w:spacing w:val="-10"/>
              </w:rPr>
              <w:t>300.95</w:t>
            </w:r>
          </w:p>
        </w:tc>
        <w:tc>
          <w:tcPr>
            <w:tcW w:w="10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21"/>
              <w:spacing w:before="148" w:line="209" w:lineRule="auto"/>
              <w:rPr/>
            </w:pPr>
            <w:r>
              <w:rPr>
                <w:color w:val="231F20"/>
                <w:spacing w:val="-11"/>
              </w:rPr>
              <w:t>166.51</w:t>
            </w:r>
          </w:p>
        </w:tc>
        <w:tc>
          <w:tcPr>
            <w:shd w:val="clear" w:fill="D4E5F5"/>
            <w:tcW w:w="1078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304"/>
              <w:spacing w:before="148" w:line="209" w:lineRule="auto"/>
              <w:rPr/>
            </w:pPr>
            <w:r>
              <w:rPr>
                <w:color w:val="231F20"/>
                <w:spacing w:val="-9"/>
              </w:rPr>
              <w:t>290.24</w:t>
            </w:r>
          </w:p>
        </w:tc>
      </w:tr>
      <w:tr>
        <w:trPr>
          <w:trHeight w:val="462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414"/>
              <w:spacing w:before="151" w:line="180" w:lineRule="auto"/>
              <w:rPr/>
            </w:pPr>
            <w:r>
              <w:rPr>
                <w:color w:val="231F20"/>
                <w:spacing w:val="-1"/>
              </w:rPr>
              <w:t>境内外币支付系统</w:t>
            </w:r>
          </w:p>
        </w:tc>
        <w:tc>
          <w:tcPr>
            <w:tcW w:w="105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56"/>
              <w:spacing w:before="149" w:line="209" w:lineRule="auto"/>
              <w:rPr/>
            </w:pPr>
            <w:r>
              <w:rPr>
                <w:color w:val="231F20"/>
                <w:spacing w:val="-8"/>
              </w:rPr>
              <w:t>0.03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55"/>
              <w:spacing w:before="149" w:line="209" w:lineRule="auto"/>
              <w:rPr/>
            </w:pPr>
            <w:r>
              <w:rPr>
                <w:color w:val="231F20"/>
                <w:spacing w:val="-11"/>
              </w:rPr>
              <w:t>10.27</w:t>
            </w:r>
          </w:p>
        </w:tc>
        <w:tc>
          <w:tcPr>
            <w:tcW w:w="96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72"/>
              <w:spacing w:before="149" w:line="209" w:lineRule="auto"/>
              <w:rPr/>
            </w:pPr>
            <w:r>
              <w:rPr>
                <w:color w:val="231F20"/>
                <w:spacing w:val="-8"/>
              </w:rPr>
              <w:t>0.04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55"/>
              <w:spacing w:before="149" w:line="209" w:lineRule="auto"/>
              <w:rPr/>
            </w:pPr>
            <w:r>
              <w:rPr>
                <w:color w:val="231F20"/>
                <w:spacing w:val="-11"/>
              </w:rPr>
              <w:t>14.46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29"/>
              <w:spacing w:before="149" w:line="209" w:lineRule="auto"/>
              <w:rPr/>
            </w:pPr>
            <w:r>
              <w:rPr>
                <w:color w:val="231F20"/>
                <w:spacing w:val="-8"/>
              </w:rPr>
              <w:t>0.05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55"/>
              <w:spacing w:before="149" w:line="209" w:lineRule="auto"/>
              <w:rPr/>
            </w:pPr>
            <w:r>
              <w:rPr>
                <w:color w:val="231F20"/>
                <w:spacing w:val="-11"/>
              </w:rPr>
              <w:t>17.15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29"/>
              <w:spacing w:before="149" w:line="209" w:lineRule="auto"/>
              <w:rPr/>
            </w:pPr>
            <w:r>
              <w:rPr>
                <w:color w:val="231F20"/>
                <w:spacing w:val="-8"/>
              </w:rPr>
              <w:t>0.05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56"/>
              <w:spacing w:before="149" w:line="209" w:lineRule="auto"/>
              <w:rPr/>
            </w:pPr>
            <w:r>
              <w:rPr>
                <w:color w:val="231F20"/>
                <w:spacing w:val="-11"/>
              </w:rPr>
              <w:t>18.68</w:t>
            </w:r>
          </w:p>
        </w:tc>
        <w:tc>
          <w:tcPr>
            <w:tcW w:w="10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84"/>
              <w:spacing w:before="149" w:line="209" w:lineRule="auto"/>
              <w:rPr/>
            </w:pPr>
            <w:r>
              <w:rPr>
                <w:color w:val="231F20"/>
                <w:spacing w:val="-8"/>
              </w:rPr>
              <w:t>0.06</w:t>
            </w:r>
          </w:p>
        </w:tc>
        <w:tc>
          <w:tcPr>
            <w:shd w:val="clear" w:fill="D4E5F5"/>
            <w:tcW w:w="1078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396"/>
              <w:spacing w:before="149" w:line="209" w:lineRule="auto"/>
              <w:rPr/>
            </w:pPr>
            <w:r>
              <w:rPr>
                <w:color w:val="231F20"/>
                <w:spacing w:val="-9"/>
              </w:rPr>
              <w:t>34.25</w:t>
            </w:r>
          </w:p>
        </w:tc>
      </w:tr>
      <w:tr>
        <w:trPr>
          <w:trHeight w:val="463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324"/>
              <w:spacing w:before="152" w:line="180" w:lineRule="auto"/>
              <w:rPr/>
            </w:pPr>
            <w:r>
              <w:rPr>
                <w:color w:val="231F20"/>
                <w:spacing w:val="-1"/>
              </w:rPr>
              <w:t>人民币跨境支付系统</w:t>
            </w:r>
          </w:p>
        </w:tc>
        <w:tc>
          <w:tcPr>
            <w:tcW w:w="105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56"/>
              <w:spacing w:before="151" w:line="209" w:lineRule="auto"/>
              <w:rPr/>
            </w:pPr>
            <w:r>
              <w:rPr>
                <w:color w:val="231F20"/>
                <w:spacing w:val="-8"/>
              </w:rPr>
              <w:t>0.02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7"/>
              <w:spacing w:before="151" w:line="209" w:lineRule="auto"/>
              <w:rPr/>
            </w:pPr>
            <w:r>
              <w:rPr>
                <w:color w:val="231F20"/>
                <w:spacing w:val="-8"/>
              </w:rPr>
              <w:t>45.27</w:t>
            </w:r>
          </w:p>
        </w:tc>
        <w:tc>
          <w:tcPr>
            <w:tcW w:w="96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72"/>
              <w:spacing w:before="151" w:line="209" w:lineRule="auto"/>
              <w:rPr/>
            </w:pPr>
            <w:r>
              <w:rPr>
                <w:color w:val="231F20"/>
                <w:spacing w:val="-8"/>
              </w:rPr>
              <w:t>0.03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39"/>
              <w:spacing w:before="151" w:line="209" w:lineRule="auto"/>
              <w:rPr/>
            </w:pPr>
            <w:r>
              <w:rPr>
                <w:color w:val="231F20"/>
                <w:spacing w:val="-9"/>
              </w:rPr>
              <w:t>79.60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29"/>
              <w:spacing w:before="151" w:line="209" w:lineRule="auto"/>
              <w:rPr/>
            </w:pPr>
            <w:r>
              <w:rPr>
                <w:color w:val="231F20"/>
                <w:spacing w:val="-8"/>
              </w:rPr>
              <w:t>0.04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41"/>
              <w:spacing w:before="151" w:line="209" w:lineRule="auto"/>
              <w:rPr/>
            </w:pPr>
            <w:r>
              <w:rPr>
                <w:color w:val="231F20"/>
                <w:spacing w:val="-9"/>
              </w:rPr>
              <w:t>96.70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29"/>
              <w:spacing w:before="151" w:line="209" w:lineRule="auto"/>
              <w:rPr/>
            </w:pPr>
            <w:r>
              <w:rPr>
                <w:color w:val="231F20"/>
                <w:spacing w:val="-8"/>
              </w:rPr>
              <w:t>0.07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67"/>
              <w:spacing w:before="151" w:line="209" w:lineRule="auto"/>
              <w:rPr/>
            </w:pPr>
            <w:r>
              <w:rPr>
                <w:color w:val="231F20"/>
                <w:spacing w:val="-11"/>
              </w:rPr>
              <w:t>123.06</w:t>
            </w:r>
          </w:p>
        </w:tc>
        <w:tc>
          <w:tcPr>
            <w:tcW w:w="10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84"/>
              <w:spacing w:before="151" w:line="209" w:lineRule="auto"/>
              <w:rPr/>
            </w:pPr>
            <w:r>
              <w:rPr>
                <w:color w:val="231F20"/>
                <w:spacing w:val="-8"/>
              </w:rPr>
              <w:t>0.08</w:t>
            </w:r>
          </w:p>
        </w:tc>
        <w:tc>
          <w:tcPr>
            <w:shd w:val="clear" w:fill="D4E5F5"/>
            <w:tcW w:w="1078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319"/>
              <w:spacing w:before="151" w:line="209" w:lineRule="auto"/>
              <w:rPr/>
            </w:pPr>
            <w:r>
              <w:rPr>
                <w:color w:val="231F20"/>
                <w:spacing w:val="-11"/>
              </w:rPr>
              <w:t>175.49</w:t>
            </w:r>
          </w:p>
        </w:tc>
      </w:tr>
      <w:tr>
        <w:trPr>
          <w:trHeight w:val="460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56"/>
              <w:spacing w:before="154" w:line="178" w:lineRule="auto"/>
              <w:rPr/>
            </w:pPr>
            <w:r>
              <w:rPr>
                <w:color w:val="231F20"/>
                <w:spacing w:val="-1"/>
              </w:rPr>
              <w:t>商业银行行内业务系统业务</w:t>
            </w:r>
          </w:p>
        </w:tc>
        <w:tc>
          <w:tcPr>
            <w:tcW w:w="105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93"/>
              <w:spacing w:before="151" w:line="207" w:lineRule="auto"/>
              <w:rPr/>
            </w:pPr>
            <w:r>
              <w:rPr>
                <w:color w:val="231F20"/>
                <w:spacing w:val="-11"/>
              </w:rPr>
              <w:t>169.19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76"/>
              <w:spacing w:before="151" w:line="207" w:lineRule="auto"/>
              <w:rPr/>
            </w:pPr>
            <w:r>
              <w:rPr>
                <w:color w:val="231F20"/>
                <w:spacing w:val="-11"/>
              </w:rPr>
              <w:t>1588.32</w:t>
            </w:r>
          </w:p>
        </w:tc>
        <w:tc>
          <w:tcPr>
            <w:tcW w:w="96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09"/>
              <w:spacing w:before="151" w:line="207" w:lineRule="auto"/>
              <w:rPr/>
            </w:pPr>
            <w:r>
              <w:rPr>
                <w:color w:val="231F20"/>
                <w:spacing w:val="-11"/>
              </w:rPr>
              <w:t>184.51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62"/>
              <w:spacing w:before="151" w:line="207" w:lineRule="auto"/>
              <w:rPr/>
            </w:pPr>
            <w:r>
              <w:rPr>
                <w:color w:val="231F20"/>
                <w:spacing w:val="-9"/>
              </w:rPr>
              <w:t>2055.34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66"/>
              <w:spacing w:before="151" w:line="207" w:lineRule="auto"/>
              <w:rPr/>
            </w:pPr>
            <w:r>
              <w:rPr>
                <w:color w:val="231F20"/>
                <w:spacing w:val="-11"/>
              </w:rPr>
              <w:t>188.60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62"/>
              <w:spacing w:before="151" w:line="207" w:lineRule="auto"/>
              <w:rPr/>
            </w:pPr>
            <w:r>
              <w:rPr>
                <w:color w:val="231F20"/>
                <w:spacing w:val="-9"/>
              </w:rPr>
              <w:t>2183.00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52"/>
              <w:spacing w:before="151" w:line="207" w:lineRule="auto"/>
              <w:rPr/>
            </w:pPr>
            <w:r>
              <w:rPr>
                <w:color w:val="231F20"/>
                <w:spacing w:val="-9"/>
              </w:rPr>
              <w:t>215.92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62"/>
              <w:spacing w:before="151" w:line="207" w:lineRule="auto"/>
              <w:rPr/>
            </w:pPr>
            <w:r>
              <w:rPr>
                <w:color w:val="231F20"/>
                <w:spacing w:val="-9"/>
              </w:rPr>
              <w:t>2168.89</w:t>
            </w:r>
          </w:p>
        </w:tc>
        <w:tc>
          <w:tcPr>
            <w:tcW w:w="10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06"/>
              <w:spacing w:before="151" w:line="207" w:lineRule="auto"/>
              <w:rPr/>
            </w:pPr>
            <w:r>
              <w:rPr>
                <w:color w:val="231F20"/>
                <w:spacing w:val="-9"/>
              </w:rPr>
              <w:t>233.43</w:t>
            </w:r>
          </w:p>
        </w:tc>
        <w:tc>
          <w:tcPr>
            <w:shd w:val="clear" w:fill="D4E5F5"/>
            <w:tcW w:w="1078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215"/>
              <w:spacing w:before="151" w:line="207" w:lineRule="auto"/>
              <w:rPr/>
            </w:pPr>
            <w:r>
              <w:rPr>
                <w:color w:val="231F20"/>
                <w:spacing w:val="-9"/>
              </w:rPr>
              <w:t>2144.50</w:t>
            </w:r>
          </w:p>
        </w:tc>
      </w:tr>
      <w:tr>
        <w:trPr>
          <w:trHeight w:val="463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414"/>
              <w:spacing w:before="156" w:line="179" w:lineRule="auto"/>
              <w:rPr/>
            </w:pPr>
            <w:r>
              <w:rPr>
                <w:color w:val="231F20"/>
                <w:spacing w:val="-1"/>
              </w:rPr>
              <w:t>银联跨行支付系统</w:t>
            </w:r>
          </w:p>
        </w:tc>
        <w:tc>
          <w:tcPr>
            <w:tcW w:w="105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04"/>
              <w:spacing w:before="154" w:line="207" w:lineRule="auto"/>
              <w:rPr/>
            </w:pPr>
            <w:r>
              <w:rPr>
                <w:color w:val="231F20"/>
                <w:spacing w:val="-11"/>
              </w:rPr>
              <w:t>1505.60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65"/>
              <w:spacing w:before="154" w:line="207" w:lineRule="auto"/>
              <w:rPr/>
            </w:pPr>
            <w:r>
              <w:rPr>
                <w:color w:val="231F20"/>
                <w:spacing w:val="-11"/>
              </w:rPr>
              <w:t>192.18</w:t>
            </w:r>
          </w:p>
        </w:tc>
        <w:tc>
          <w:tcPr>
            <w:tcW w:w="96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05"/>
              <w:spacing w:before="154" w:line="207" w:lineRule="auto"/>
              <w:rPr/>
            </w:pPr>
            <w:r>
              <w:rPr>
                <w:color w:val="231F20"/>
                <w:spacing w:val="-9"/>
              </w:rPr>
              <w:t>2080.04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51"/>
              <w:spacing w:before="154" w:line="207" w:lineRule="auto"/>
              <w:rPr/>
            </w:pPr>
            <w:r>
              <w:rPr>
                <w:color w:val="231F20"/>
                <w:spacing w:val="-9"/>
              </w:rPr>
              <w:t>226.95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62"/>
              <w:spacing w:before="154" w:line="207" w:lineRule="auto"/>
              <w:rPr/>
            </w:pPr>
            <w:r>
              <w:rPr>
                <w:color w:val="231F20"/>
                <w:spacing w:val="-9"/>
              </w:rPr>
              <w:t>2474.90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51"/>
              <w:spacing w:before="154" w:line="207" w:lineRule="auto"/>
              <w:rPr/>
            </w:pPr>
            <w:r>
              <w:rPr>
                <w:color w:val="231F20"/>
                <w:spacing w:val="-9"/>
              </w:rPr>
              <w:t>251.95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65"/>
              <w:spacing w:before="154" w:line="207" w:lineRule="auto"/>
              <w:rPr/>
            </w:pPr>
            <w:r>
              <w:rPr>
                <w:color w:val="231F20"/>
                <w:spacing w:val="-10"/>
              </w:rPr>
              <w:t>3099.46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52"/>
              <w:spacing w:before="154" w:line="207" w:lineRule="auto"/>
              <w:rPr/>
            </w:pPr>
            <w:r>
              <w:rPr>
                <w:color w:val="231F20"/>
                <w:spacing w:val="-9"/>
              </w:rPr>
              <w:t>279.53</w:t>
            </w:r>
          </w:p>
        </w:tc>
        <w:tc>
          <w:tcPr>
            <w:tcW w:w="10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20"/>
              <w:spacing w:before="154" w:line="207" w:lineRule="auto"/>
              <w:rPr/>
            </w:pPr>
            <w:r>
              <w:rPr>
                <w:color w:val="231F20"/>
                <w:spacing w:val="-10"/>
              </w:rPr>
              <w:t>3346.40</w:t>
            </w:r>
          </w:p>
        </w:tc>
        <w:tc>
          <w:tcPr>
            <w:shd w:val="clear" w:fill="D4E5F5"/>
            <w:tcW w:w="1078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304"/>
              <w:spacing w:before="154" w:line="207" w:lineRule="auto"/>
              <w:rPr/>
            </w:pPr>
            <w:r>
              <w:rPr>
                <w:color w:val="231F20"/>
                <w:spacing w:val="-9"/>
              </w:rPr>
              <w:t>255.46</w:t>
            </w:r>
          </w:p>
        </w:tc>
      </w:tr>
      <w:tr>
        <w:trPr>
          <w:trHeight w:val="460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610"/>
              <w:spacing w:before="158" w:line="177" w:lineRule="auto"/>
              <w:rPr/>
            </w:pPr>
            <w:r>
              <w:rPr>
                <w:color w:val="231F20"/>
                <w:spacing w:val="-3"/>
              </w:rPr>
              <w:t>网联清算平台</w:t>
            </w:r>
          </w:p>
        </w:tc>
        <w:tc>
          <w:tcPr>
            <w:tcW w:w="105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90"/>
              <w:spacing w:before="155" w:line="204" w:lineRule="auto"/>
              <w:rPr/>
            </w:pPr>
            <w:r>
              <w:rPr>
                <w:color w:val="231F20"/>
                <w:spacing w:val="-10"/>
              </w:rPr>
              <w:t>5431.68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53"/>
              <w:spacing w:before="155" w:line="204" w:lineRule="auto"/>
              <w:rPr/>
            </w:pPr>
            <w:r>
              <w:rPr>
                <w:color w:val="231F20"/>
                <w:spacing w:val="-10"/>
              </w:rPr>
              <w:t>348.86</w:t>
            </w:r>
          </w:p>
        </w:tc>
        <w:tc>
          <w:tcPr>
            <w:tcW w:w="96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05"/>
              <w:spacing w:before="155" w:line="204" w:lineRule="auto"/>
              <w:rPr/>
            </w:pPr>
            <w:r>
              <w:rPr>
                <w:color w:val="231F20"/>
                <w:spacing w:val="-10"/>
              </w:rPr>
              <w:t>6827.60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48"/>
              <w:spacing w:before="155" w:line="204" w:lineRule="auto"/>
              <w:rPr/>
            </w:pPr>
            <w:r>
              <w:rPr>
                <w:color w:val="231F20"/>
                <w:spacing w:val="-9"/>
              </w:rPr>
              <w:t>461.46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61"/>
              <w:spacing w:before="155" w:line="204" w:lineRule="auto"/>
              <w:rPr/>
            </w:pPr>
            <w:r>
              <w:rPr>
                <w:color w:val="231F20"/>
                <w:spacing w:val="-9"/>
              </w:rPr>
              <w:t>7713.49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49"/>
              <w:spacing w:before="155" w:line="204" w:lineRule="auto"/>
              <w:rPr/>
            </w:pPr>
            <w:r>
              <w:rPr>
                <w:color w:val="231F20"/>
                <w:spacing w:val="-9"/>
              </w:rPr>
              <w:t>450.50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64"/>
              <w:spacing w:before="155" w:line="204" w:lineRule="auto"/>
              <w:rPr/>
            </w:pPr>
            <w:r>
              <w:rPr>
                <w:color w:val="231F20"/>
                <w:spacing w:val="-10"/>
              </w:rPr>
              <w:t>8950.55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249"/>
              <w:spacing w:before="155" w:line="204" w:lineRule="auto"/>
              <w:rPr/>
            </w:pPr>
            <w:r>
              <w:rPr>
                <w:color w:val="231F20"/>
                <w:spacing w:val="-9"/>
              </w:rPr>
              <w:t>497.90</w:t>
            </w:r>
          </w:p>
        </w:tc>
        <w:tc>
          <w:tcPr>
            <w:tcW w:w="10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142"/>
              <w:spacing w:before="155" w:line="204" w:lineRule="auto"/>
              <w:rPr/>
            </w:pPr>
            <w:r>
              <w:rPr>
                <w:color w:val="231F20"/>
                <w:spacing w:val="-11"/>
              </w:rPr>
              <w:t>10345.59</w:t>
            </w:r>
          </w:p>
        </w:tc>
        <w:tc>
          <w:tcPr>
            <w:shd w:val="clear" w:fill="D4E5F5"/>
            <w:tcW w:w="1078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305"/>
              <w:spacing w:before="155" w:line="204" w:lineRule="auto"/>
              <w:rPr/>
            </w:pPr>
            <w:r>
              <w:rPr>
                <w:color w:val="231F20"/>
                <w:spacing w:val="-9"/>
              </w:rPr>
              <w:t>520.53</w:t>
            </w:r>
          </w:p>
        </w:tc>
      </w:tr>
      <w:tr>
        <w:trPr>
          <w:trHeight w:val="462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bottom w:val="nil"/>
              <w:top w:val="nil"/>
            </w:tcBorders>
          </w:tcPr>
          <w:p>
            <w:pPr>
              <w:pStyle w:val="TableText"/>
              <w:ind w:left="257"/>
              <w:spacing w:before="160" w:line="180" w:lineRule="auto"/>
              <w:rPr/>
            </w:pPr>
            <w:r>
              <w:rPr>
                <w:color w:val="231F20"/>
                <w:spacing w:val="-1"/>
              </w:rPr>
              <w:t>城银清算支付清算系统</w:t>
            </w:r>
          </w:p>
        </w:tc>
        <w:tc>
          <w:tcPr>
            <w:tcW w:w="1054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56"/>
              <w:spacing w:before="159" w:line="203" w:lineRule="auto"/>
              <w:rPr/>
            </w:pPr>
            <w:r>
              <w:rPr>
                <w:color w:val="231F20"/>
                <w:spacing w:val="-8"/>
              </w:rPr>
              <w:t>0.08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44"/>
              <w:spacing w:before="159" w:line="203" w:lineRule="auto"/>
              <w:rPr/>
            </w:pPr>
            <w:r>
              <w:rPr>
                <w:color w:val="231F20"/>
                <w:spacing w:val="-11"/>
              </w:rPr>
              <w:t>1.10</w:t>
            </w:r>
          </w:p>
        </w:tc>
        <w:tc>
          <w:tcPr>
            <w:tcW w:w="969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372"/>
              <w:spacing w:before="159" w:line="203" w:lineRule="auto"/>
              <w:rPr/>
            </w:pPr>
            <w:r>
              <w:rPr>
                <w:color w:val="231F20"/>
                <w:spacing w:val="-8"/>
              </w:rPr>
              <w:t>0.16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44"/>
              <w:spacing w:before="159" w:line="203" w:lineRule="auto"/>
              <w:rPr/>
            </w:pPr>
            <w:r>
              <w:rPr>
                <w:color w:val="231F20"/>
                <w:spacing w:val="-11"/>
              </w:rPr>
              <w:t>1.87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29"/>
              <w:spacing w:before="159" w:line="203" w:lineRule="auto"/>
              <w:rPr/>
            </w:pPr>
            <w:r>
              <w:rPr>
                <w:color w:val="231F20"/>
                <w:spacing w:val="-8"/>
              </w:rPr>
              <w:t>0.27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30"/>
              <w:spacing w:before="159" w:line="203" w:lineRule="auto"/>
              <w:rPr/>
            </w:pPr>
            <w:r>
              <w:rPr>
                <w:color w:val="231F20"/>
                <w:spacing w:val="-8"/>
              </w:rPr>
              <w:t>2.60</w:t>
            </w:r>
          </w:p>
        </w:tc>
        <w:tc>
          <w:tcPr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29"/>
              <w:spacing w:before="159" w:line="203" w:lineRule="auto"/>
              <w:rPr/>
            </w:pPr>
            <w:r>
              <w:rPr>
                <w:color w:val="231F20"/>
                <w:spacing w:val="-8"/>
              </w:rPr>
              <w:t>0.40</w:t>
            </w:r>
          </w:p>
        </w:tc>
        <w:tc>
          <w:tcPr>
            <w:shd w:val="clear" w:fill="D4E5F5"/>
            <w:tcW w:w="1026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33"/>
              <w:spacing w:before="159" w:line="203" w:lineRule="auto"/>
              <w:rPr/>
            </w:pPr>
            <w:r>
              <w:rPr>
                <w:color w:val="231F20"/>
                <w:spacing w:val="-9"/>
              </w:rPr>
              <w:t>3.78</w:t>
            </w:r>
          </w:p>
        </w:tc>
        <w:tc>
          <w:tcPr>
            <w:tcW w:w="1080" w:type="dxa"/>
            <w:vAlign w:val="top"/>
            <w:tcBorders>
              <w:bottom w:val="nil"/>
              <w:top w:val="nil"/>
            </w:tcBorders>
          </w:tcPr>
          <w:p>
            <w:pPr>
              <w:pStyle w:val="TableText"/>
              <w:ind w:left="484"/>
              <w:spacing w:before="159" w:line="203" w:lineRule="auto"/>
              <w:rPr/>
            </w:pPr>
            <w:r>
              <w:rPr>
                <w:color w:val="231F20"/>
                <w:spacing w:val="-8"/>
              </w:rPr>
              <w:t>0.52</w:t>
            </w:r>
          </w:p>
        </w:tc>
        <w:tc>
          <w:tcPr>
            <w:shd w:val="clear" w:fill="D4E5F5"/>
            <w:tcW w:w="1078" w:type="dxa"/>
            <w:vAlign w:val="top"/>
            <w:tcBorders>
              <w:bottom w:val="nil"/>
              <w:right w:val="nil"/>
              <w:top w:val="nil"/>
            </w:tcBorders>
          </w:tcPr>
          <w:p>
            <w:pPr>
              <w:pStyle w:val="TableText"/>
              <w:ind w:left="483"/>
              <w:spacing w:before="159" w:line="203" w:lineRule="auto"/>
              <w:rPr/>
            </w:pPr>
            <w:r>
              <w:rPr>
                <w:color w:val="231F20"/>
                <w:spacing w:val="-8"/>
              </w:rPr>
              <w:t>5.21</w:t>
            </w:r>
          </w:p>
        </w:tc>
      </w:tr>
      <w:tr>
        <w:trPr>
          <w:trHeight w:val="472" w:hRule="atLeast"/>
        </w:trPr>
        <w:tc>
          <w:tcPr>
            <w:shd w:val="clear" w:fill="D4E5F5"/>
            <w:tcW w:w="2263" w:type="dxa"/>
            <w:vAlign w:val="top"/>
            <w:tcBorders>
              <w:left w:val="nil"/>
              <w:top w:val="nil"/>
              <w:bottom w:val="single" w:color="231F20" w:sz="8" w:space="0"/>
            </w:tcBorders>
          </w:tcPr>
          <w:p>
            <w:pPr>
              <w:pStyle w:val="TableText"/>
              <w:ind w:left="344"/>
              <w:spacing w:before="161" w:line="180" w:lineRule="auto"/>
              <w:rPr/>
            </w:pPr>
            <w:r>
              <w:rPr>
                <w:color w:val="231F20"/>
                <w:spacing w:val="-1"/>
              </w:rPr>
              <w:t>农信银支付清算系统</w:t>
            </w:r>
          </w:p>
        </w:tc>
        <w:tc>
          <w:tcPr>
            <w:tcW w:w="1054" w:type="dxa"/>
            <w:vAlign w:val="top"/>
            <w:tcBorders>
              <w:top w:val="nil"/>
              <w:bottom w:val="single" w:color="231F20" w:sz="8" w:space="0"/>
            </w:tcBorders>
          </w:tcPr>
          <w:p>
            <w:pPr>
              <w:pStyle w:val="TableText"/>
              <w:ind w:left="382"/>
              <w:spacing w:before="160" w:line="209" w:lineRule="auto"/>
              <w:rPr/>
            </w:pPr>
            <w:r>
              <w:rPr>
                <w:color w:val="231F20"/>
                <w:spacing w:val="-11"/>
              </w:rPr>
              <w:t>17.38</w:t>
            </w:r>
          </w:p>
        </w:tc>
        <w:tc>
          <w:tcPr>
            <w:shd w:val="clear" w:fill="D4E5F5"/>
            <w:tcW w:w="1026" w:type="dxa"/>
            <w:vAlign w:val="top"/>
            <w:tcBorders>
              <w:top w:val="nil"/>
              <w:bottom w:val="single" w:color="231F20" w:sz="8" w:space="0"/>
            </w:tcBorders>
          </w:tcPr>
          <w:p>
            <w:pPr>
              <w:pStyle w:val="TableText"/>
              <w:ind w:left="429"/>
              <w:spacing w:before="160" w:line="209" w:lineRule="auto"/>
              <w:rPr/>
            </w:pPr>
            <w:r>
              <w:rPr>
                <w:color w:val="231F20"/>
                <w:spacing w:val="-8"/>
              </w:rPr>
              <w:t>2.64</w:t>
            </w:r>
          </w:p>
        </w:tc>
        <w:tc>
          <w:tcPr>
            <w:tcW w:w="969" w:type="dxa"/>
            <w:vAlign w:val="top"/>
            <w:tcBorders>
              <w:top w:val="nil"/>
              <w:bottom w:val="single" w:color="231F20" w:sz="8" w:space="0"/>
            </w:tcBorders>
          </w:tcPr>
          <w:p>
            <w:pPr>
              <w:pStyle w:val="TableText"/>
              <w:ind w:left="283"/>
              <w:spacing w:before="160" w:line="209" w:lineRule="auto"/>
              <w:rPr/>
            </w:pPr>
            <w:r>
              <w:rPr>
                <w:color w:val="231F20"/>
                <w:spacing w:val="-9"/>
              </w:rPr>
              <w:t>25.30</w:t>
            </w:r>
          </w:p>
        </w:tc>
        <w:tc>
          <w:tcPr>
            <w:shd w:val="clear" w:fill="D4E5F5"/>
            <w:tcW w:w="1026" w:type="dxa"/>
            <w:vAlign w:val="top"/>
            <w:tcBorders>
              <w:top w:val="nil"/>
              <w:bottom w:val="single" w:color="231F20" w:sz="8" w:space="0"/>
            </w:tcBorders>
          </w:tcPr>
          <w:p>
            <w:pPr>
              <w:pStyle w:val="TableText"/>
              <w:ind w:left="432"/>
              <w:spacing w:before="160" w:line="209" w:lineRule="auto"/>
              <w:rPr/>
            </w:pPr>
            <w:r>
              <w:rPr>
                <w:color w:val="231F20"/>
                <w:spacing w:val="-9"/>
              </w:rPr>
              <w:t>3.27</w:t>
            </w:r>
          </w:p>
        </w:tc>
        <w:tc>
          <w:tcPr>
            <w:tcW w:w="1026" w:type="dxa"/>
            <w:vAlign w:val="top"/>
            <w:tcBorders>
              <w:top w:val="nil"/>
              <w:bottom w:val="single" w:color="231F20" w:sz="8" w:space="0"/>
            </w:tcBorders>
          </w:tcPr>
          <w:p>
            <w:pPr>
              <w:pStyle w:val="TableText"/>
              <w:ind w:left="338"/>
              <w:spacing w:before="160" w:line="209" w:lineRule="auto"/>
              <w:rPr/>
            </w:pPr>
            <w:r>
              <w:rPr>
                <w:color w:val="231F20"/>
                <w:spacing w:val="-8"/>
              </w:rPr>
              <w:t>40.57</w:t>
            </w:r>
          </w:p>
        </w:tc>
        <w:tc>
          <w:tcPr>
            <w:shd w:val="clear" w:fill="D4E5F5"/>
            <w:tcW w:w="1026" w:type="dxa"/>
            <w:vAlign w:val="top"/>
            <w:tcBorders>
              <w:top w:val="nil"/>
              <w:bottom w:val="single" w:color="231F20" w:sz="8" w:space="0"/>
            </w:tcBorders>
          </w:tcPr>
          <w:p>
            <w:pPr>
              <w:pStyle w:val="TableText"/>
              <w:ind w:left="433"/>
              <w:spacing w:before="160" w:line="209" w:lineRule="auto"/>
              <w:rPr/>
            </w:pPr>
            <w:r>
              <w:rPr>
                <w:color w:val="231F20"/>
                <w:spacing w:val="-9"/>
              </w:rPr>
              <w:t>3.24</w:t>
            </w:r>
          </w:p>
        </w:tc>
        <w:tc>
          <w:tcPr>
            <w:tcW w:w="1026" w:type="dxa"/>
            <w:vAlign w:val="top"/>
            <w:tcBorders>
              <w:top w:val="nil"/>
              <w:bottom w:val="single" w:color="231F20" w:sz="8" w:space="0"/>
            </w:tcBorders>
          </w:tcPr>
          <w:p>
            <w:pPr>
              <w:pStyle w:val="TableText"/>
              <w:ind w:left="344"/>
              <w:spacing w:before="160" w:line="209" w:lineRule="auto"/>
              <w:rPr/>
            </w:pPr>
            <w:r>
              <w:rPr>
                <w:color w:val="231F20"/>
                <w:spacing w:val="-9"/>
              </w:rPr>
              <w:t>30.73</w:t>
            </w:r>
          </w:p>
        </w:tc>
        <w:tc>
          <w:tcPr>
            <w:shd w:val="clear" w:fill="D4E5F5"/>
            <w:tcW w:w="1026" w:type="dxa"/>
            <w:vAlign w:val="top"/>
            <w:tcBorders>
              <w:top w:val="nil"/>
              <w:bottom w:val="single" w:color="231F20" w:sz="8" w:space="0"/>
            </w:tcBorders>
          </w:tcPr>
          <w:p>
            <w:pPr>
              <w:pStyle w:val="TableText"/>
              <w:ind w:left="433"/>
              <w:spacing w:before="160" w:line="209" w:lineRule="auto"/>
              <w:rPr/>
            </w:pPr>
            <w:r>
              <w:rPr>
                <w:color w:val="231F20"/>
                <w:spacing w:val="-9"/>
              </w:rPr>
              <w:t>3.11</w:t>
            </w:r>
          </w:p>
        </w:tc>
        <w:tc>
          <w:tcPr>
            <w:tcW w:w="1080" w:type="dxa"/>
            <w:vAlign w:val="top"/>
            <w:tcBorders>
              <w:top w:val="nil"/>
              <w:bottom w:val="single" w:color="231F20" w:sz="8" w:space="0"/>
            </w:tcBorders>
          </w:tcPr>
          <w:p>
            <w:pPr>
              <w:pStyle w:val="TableText"/>
              <w:ind w:left="396"/>
              <w:spacing w:before="160" w:line="209" w:lineRule="auto"/>
              <w:rPr/>
            </w:pPr>
            <w:r>
              <w:rPr>
                <w:color w:val="231F20"/>
                <w:spacing w:val="-9"/>
              </w:rPr>
              <w:t>22.55</w:t>
            </w:r>
          </w:p>
        </w:tc>
        <w:tc>
          <w:tcPr>
            <w:shd w:val="clear" w:fill="D4E5F5"/>
            <w:tcW w:w="1078" w:type="dxa"/>
            <w:vAlign w:val="top"/>
            <w:tcBorders>
              <w:right w:val="nil"/>
              <w:top w:val="nil"/>
              <w:bottom w:val="single" w:color="231F20" w:sz="8" w:space="0"/>
            </w:tcBorders>
          </w:tcPr>
          <w:p>
            <w:pPr>
              <w:pStyle w:val="TableText"/>
              <w:ind w:left="483"/>
              <w:spacing w:before="160" w:line="209" w:lineRule="auto"/>
              <w:rPr/>
            </w:pPr>
            <w:r>
              <w:rPr>
                <w:color w:val="231F20"/>
                <w:spacing w:val="-8"/>
              </w:rPr>
              <w:t>2.61</w:t>
            </w:r>
          </w:p>
        </w:tc>
      </w:tr>
    </w:tbl>
    <w:p>
      <w:pPr>
        <w:pStyle w:val="BodyText"/>
        <w:ind w:left="329"/>
        <w:spacing w:before="123" w:line="198" w:lineRule="auto"/>
        <w:rPr>
          <w:sz w:val="18"/>
          <w:szCs w:val="18"/>
        </w:rPr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2800000" behindDoc="0" locked="0" layoutInCell="1" allowOverlap="1">
                <wp:simplePos x="0" y="0"/>
                <wp:positionH relativeFrom="column">
                  <wp:posOffset>8300573</wp:posOffset>
                </wp:positionH>
                <wp:positionV relativeFrom="paragraph">
                  <wp:posOffset>1351431</wp:posOffset>
                </wp:positionV>
                <wp:extent cx="288290" cy="216534"/>
                <wp:effectExtent l="0" t="0" r="0" b="0"/>
                <wp:wrapNone/>
                <wp:docPr id="806" name="TextBox 806"/>
                <wp:cNvGraphicFramePr/>
                <a:graphic>
                  <a:graphicData uri="http://schemas.microsoft.com/office/word/2010/wordprocessingShape">
                    <wps:wsp>
                      <wps:cNvPr id="806" name="TextBox 806"/>
                      <wps:cNvSpPr txBox="1"/>
                      <wps:spPr>
                        <a:xfrm rot="5400000">
                          <a:off x="8300573" y="1351431"/>
                          <a:ext cx="288290" cy="216534"/>
                        </a:xfrm>
                        <a:prstGeom prst="rect">
                          <a:avLst/>
                        </a:prstGeom>
                        <a:solidFill>
                          <a:srgbClr val="174B8B"/>
                        </a:solidFill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77"/>
                              <w:spacing w:before="90" w:line="197" w:lineRule="auto"/>
                              <w:rPr>
                                <w:rFonts w:ascii="DejaVu Sans" w:hAnsi="DejaVu Sans" w:eastAsia="DejaVu Sans" w:cs="DejaVu Sans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DejaVu Sans" w:hAnsi="DejaVu Sans" w:eastAsia="DejaVu Sans" w:cs="DejaVu Sans"/>
                                <w:sz w:val="21"/>
                                <w:szCs w:val="21"/>
                                <w:color w:val="FFFFFF"/>
                                <w:spacing w:val="-18"/>
                              </w:rPr>
                              <w:t>109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6" style="position:absolute;margin-left:653.588pt;margin-top:106.412pt;mso-position-vertical-relative:text;mso-position-horizontal-relative:text;width:22.7pt;height:17.05pt;z-index:252800000;rotation:90;" fillcolor="#174B8B" filled="true" stroked="false" type="#_x0000_t202">
                <v:fill on="tru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77"/>
                        <w:spacing w:before="90" w:line="197" w:lineRule="auto"/>
                        <w:rPr>
                          <w:rFonts w:ascii="DejaVu Sans" w:hAnsi="DejaVu Sans" w:eastAsia="DejaVu Sans" w:cs="DejaVu Sans"/>
                          <w:sz w:val="21"/>
                          <w:szCs w:val="21"/>
                        </w:rPr>
                      </w:pPr>
                      <w:r>
                        <w:rPr>
                          <w:rFonts w:ascii="DejaVu Sans" w:hAnsi="DejaVu Sans" w:eastAsia="DejaVu Sans" w:cs="DejaVu Sans"/>
                          <w:sz w:val="21"/>
                          <w:szCs w:val="21"/>
                          <w:color w:val="FFFFFF"/>
                          <w:spacing w:val="-18"/>
                        </w:rP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8"/>
          <w:szCs w:val="18"/>
          <w:color w:val="231F20"/>
          <w:spacing w:val="-3"/>
        </w:rPr>
        <w:t>数据来源：中国人民银行。</w:t>
      </w:r>
    </w:p>
    <w:sectPr>
      <w:headerReference w:type="default" r:id="rId5"/>
      <w:pgSz w:w="16158" w:h="11906"/>
      <w:pgMar w:top="400" w:right="1077" w:bottom="400" w:left="1611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altName w:val="Noto Sans CJK SC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altName w:val="Noto Sans CJK SC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Noto Sans CJK SC Regular">
    <w:altName w:val="Noto Sans CJK SC"/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Noto Sans CJK SC">
    <w:panose1 w:val="020B0500000000000000"/>
    <w:charset w:val="86"/>
    <w:family w:val="auto"/>
    <w:pitch w:val="default"/>
    <w:sig w:usb0="30000003" w:usb1="2BDF3C10" w:usb2="00000016" w:usb3="00000000" w:csb0="602E0107" w:csb1="00000000"/>
  </w:font>
  <w:font w:name="DejaVu Sans">
    <w:panose1 w:val="020B0603030804020204"/>
    <w:charset w:val="00"/>
    <w:family w:val="auto"/>
    <w:pitch w:val="variable"/>
    <w:sig w:usb0="E7006EFF" w:usb1="D200FDFF" w:usb2="0A246029" w:usb3="0400200C" w:csb0="600001FF" w:csb1="DFFF0000"/>
  </w:font>
  <w:font w:name="Times New Roman">
    <w:panose1 w:val="02020803070505020304"/>
    <w:charset w:val="00"/>
    <w:family w:val="auto"/>
    <w:pitch w:val="variable"/>
    <w:sig w:usb0="E0002EFF" w:usb1="C000785B" w:usb2="00000009" w:usb3="00000000" w:csb0="400001FF" w:csb1="FFFF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069"/>
      <w:spacing w:line="184" w:lineRule="auto"/>
      <w:rPr/>
    </w:pPr>
    <w:r>
      <w:rPr>
        <w:sz w:val="18"/>
        <w:szCs w:val="18"/>
        <w:color w:val="231F20"/>
        <w:spacing w:val="2"/>
        <w:position w:val="-1"/>
      </w:rPr>
      <w:t>（数据来源：</w:t>
    </w:r>
    <w:r>
      <w:rPr>
        <w:rFonts w:ascii="Times New Roman" w:hAnsi="Times New Roman" w:eastAsia="Times New Roman" w:cs="Times New Roman"/>
        <w:sz w:val="18"/>
        <w:szCs w:val="18"/>
        <w:color w:val="231F20"/>
        <w:position w:val="-1"/>
      </w:rPr>
      <w:t>Wind</w:t>
    </w:r>
    <w:r>
      <w:rPr>
        <w:sz w:val="18"/>
        <w:szCs w:val="18"/>
        <w:color w:val="231F20"/>
        <w:spacing w:val="2"/>
        <w:position w:val="-1"/>
      </w:rPr>
      <w:t>数据</w:t>
    </w:r>
    <w:r>
      <w:rPr>
        <w:sz w:val="18"/>
        <w:szCs w:val="18"/>
        <w:color w:val="231F20"/>
        <w:spacing w:val="3"/>
        <w:position w:val="-1"/>
      </w:rPr>
      <w:t>）</w:t>
    </w:r>
    <w:r>
      <w:rPr>
        <w:sz w:val="18"/>
        <w:szCs w:val="18"/>
        <w:color w:val="231F20"/>
        <w:spacing w:val="1"/>
        <w:position w:val="-1"/>
      </w:rPr>
      <w:t xml:space="preserve">                            </w:t>
    </w:r>
    <w:r>
      <w:rPr>
        <w:sz w:val="18"/>
        <w:szCs w:val="18"/>
        <w:color w:val="231F20"/>
        <w:position w:val="-1"/>
      </w:rPr>
      <w:t xml:space="preserve">         </w:t>
    </w:r>
    <w:r>
      <w:rPr>
        <w:color w:val="231F20"/>
        <w:spacing w:val="3"/>
        <w:position w:val="2"/>
      </w:rPr>
      <w:t>（</w:t>
    </w:r>
    <w:r>
      <w:rPr>
        <w:color w:val="231F20"/>
        <w:spacing w:val="2"/>
        <w:position w:val="2"/>
      </w:rPr>
      <w:t>见图</w:t>
    </w:r>
    <w:r>
      <w:rPr>
        <w:rFonts w:ascii="Times New Roman" w:hAnsi="Times New Roman" w:eastAsia="Times New Roman" w:cs="Times New Roman"/>
        <w:color w:val="231F20"/>
        <w:spacing w:val="2"/>
        <w:position w:val="2"/>
      </w:rPr>
      <w:t>1</w:t>
    </w:r>
    <w:r>
      <w:rPr>
        <w:color w:val="231F20"/>
        <w:spacing w:val="2"/>
        <w:position w:val="2"/>
      </w:rPr>
      <w:t>-</w:t>
    </w:r>
    <w:r>
      <w:rPr>
        <w:rFonts w:ascii="Times New Roman" w:hAnsi="Times New Roman" w:eastAsia="Times New Roman" w:cs="Times New Roman"/>
        <w:color w:val="231F20"/>
        <w:spacing w:val="2"/>
        <w:position w:val="2"/>
      </w:rPr>
      <w:t>6</w:t>
    </w:r>
    <w:r>
      <w:rPr>
        <w:color w:val="231F20"/>
        <w:spacing w:val="2"/>
        <w:position w:val="2"/>
      </w:rPr>
      <w:t>）。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right="6"/>
      <w:spacing w:line="202" w:lineRule="auto"/>
      <w:jc w:val="right"/>
      <w:rPr/>
    </w:pPr>
    <w:r>
      <w:rPr>
        <w:sz w:val="18"/>
        <w:szCs w:val="18"/>
        <w:color w:val="231F20"/>
        <w:spacing w:val="2"/>
        <w:position w:val="4"/>
      </w:rPr>
      <w:t>（数据来源：</w:t>
    </w:r>
    <w:r>
      <w:rPr>
        <w:rFonts w:ascii="Times New Roman" w:hAnsi="Times New Roman" w:eastAsia="Times New Roman" w:cs="Times New Roman"/>
        <w:sz w:val="18"/>
        <w:szCs w:val="18"/>
        <w:color w:val="231F20"/>
        <w:position w:val="4"/>
      </w:rPr>
      <w:t>Wind</w:t>
    </w:r>
    <w:r>
      <w:rPr>
        <w:sz w:val="18"/>
        <w:szCs w:val="18"/>
        <w:color w:val="231F20"/>
        <w:spacing w:val="2"/>
        <w:position w:val="4"/>
      </w:rPr>
      <w:t>数据）                                     </w:t>
    </w:r>
    <w:r>
      <w:rPr>
        <w:color w:val="231F20"/>
        <w:spacing w:val="2"/>
        <w:position w:val="-2"/>
      </w:rPr>
      <w:t>年将上升至约</w:t>
    </w:r>
    <w:r>
      <w:rPr>
        <w:rFonts w:ascii="Times New Roman" w:hAnsi="Times New Roman" w:eastAsia="Times New Roman" w:cs="Times New Roman"/>
        <w:color w:val="231F20"/>
        <w:spacing w:val="2"/>
        <w:position w:val="-2"/>
      </w:rPr>
      <w:t>100%</w:t>
    </w:r>
    <w:r>
      <w:rPr>
        <w:color w:val="231F20"/>
        <w:spacing w:val="2"/>
        <w:position w:val="-2"/>
      </w:rPr>
      <w:t>。在高债务叠加高利率环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mc:AlternateContent xmlns:mc="http://schemas.openxmlformats.org/markup-compatibility/2006">
        <mc:Choice Requires="wps">
          <w:drawing>
            <wp:anchor distT="0" distB="0" distL="0" distR="0" simplePos="0" relativeHeight="2516582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260330"/>
              <wp:effectExtent l="0" t="0" r="0" b="0"/>
              <wp:wrapNone/>
              <wp:docPr id="10" name="Rect 10"/>
              <wp:cNvGraphicFramePr/>
              <a:graphic>
                <a:graphicData uri="http://schemas.microsoft.com/office/word/2010/wordprocessingShape">
                  <wps:wsp>
                    <wps:cNvPr id="10" name="Rect 10"/>
                    <wps:cNvSpPr/>
                    <wps:spPr>
                      <a:xfrm>
                        <a:off x="0" y="0"/>
                        <a:ext cx="7560310" cy="10260330"/>
                      </a:xfrm>
                      <a:prstGeom prst="rect">
                        <a:avLst/>
                      </a:prstGeom>
                      <a:solidFill>
                        <a:srgbClr val="D4E5F5"/>
                      </a:solidFill>
                      <a:ln w="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4" style="position:absolute;margin-left:0pt;margin-top:0pt;mso-position-vertical-relative:page;mso-position-horizontal-relative:page;width:595.3pt;height:807.9pt;z-index:-251658240;" o:allowincell="f" fillcolor="#D4E5F5" filled="true" stroked="false"/>
          </w:pict>
        </mc:Fallback>
      </mc:AlternateContent>
    </w: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76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5"/>
      </w:rPr>
      <w:t>8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17"/>
      </w:rPr>
      <w:t xml:space="preserve">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62" name="IM 62"/>
          <wp:cNvGraphicFramePr/>
          <a:graphic>
            <a:graphicData uri="http://schemas.openxmlformats.org/drawingml/2006/picture">
              <pic:pic>
                <pic:nvPicPr>
                  <pic:cNvPr id="62" name="IM 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第一章</w:t>
    </w:r>
    <w:r>
      <w:rPr>
        <w:u w:val="single" w:color="174B8B"/>
        <w:color w:val="231F20"/>
        <w:spacing w:val="7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宏观经济运行                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-1"/>
        <w:position w:val="1"/>
      </w:rPr>
      <w:t xml:space="preserve"> 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1"/>
      </w:rPr>
      <w:t>9   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36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30"/>
      </w:rPr>
      <w:t>10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4" name="IM 74"/>
          <wp:cNvGraphicFramePr/>
          <a:graphic>
            <a:graphicData uri="http://schemas.openxmlformats.org/drawingml/2006/picture">
              <pic:pic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6"/>
        <w:position w:val="1"/>
      </w:rPr>
      <w:t>第一章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6"/>
        <w:position w:val="1"/>
      </w:rPr>
      <w:t>宏观经济运行</w:t>
    </w:r>
    <w:r>
      <w:rPr>
        <w:u w:val="single" w:color="174B8B"/>
        <w:color w:val="231F20"/>
        <w:spacing w:val="1"/>
        <w:position w:val="1"/>
      </w:rPr>
      <w:t xml:space="preserve">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21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6"/>
      </w:rPr>
      <w:t>11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36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30"/>
      </w:rPr>
      <w:t>12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84" name="IM 84"/>
          <wp:cNvGraphicFramePr/>
          <a:graphic>
            <a:graphicData uri="http://schemas.openxmlformats.org/drawingml/2006/picture">
              <pic:pic>
                <pic:nvPicPr>
                  <pic:cNvPr id="84" name="IM 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6"/>
        <w:position w:val="1"/>
      </w:rPr>
      <w:t>第一章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6"/>
        <w:position w:val="1"/>
      </w:rPr>
      <w:t>宏观经济运行</w:t>
    </w:r>
    <w:r>
      <w:rPr>
        <w:u w:val="single" w:color="174B8B"/>
        <w:color w:val="231F20"/>
        <w:spacing w:val="1"/>
        <w:position w:val="1"/>
      </w:rPr>
      <w:t xml:space="preserve">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21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6"/>
      </w:rPr>
      <w:t>13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36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9"/>
        <w:w w:val="99"/>
      </w:rPr>
      <w:t>14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90" name="IM 90"/>
          <wp:cNvGraphicFramePr/>
          <a:graphic>
            <a:graphicData uri="http://schemas.openxmlformats.org/drawingml/2006/picture">
              <pic:pic>
                <pic:nvPicPr>
                  <pic:cNvPr id="90" name="IM 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6"/>
        <w:position w:val="1"/>
      </w:rPr>
      <w:t>第一章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6"/>
        <w:position w:val="1"/>
      </w:rPr>
      <w:t>宏观经济运行</w:t>
    </w:r>
    <w:r>
      <w:rPr>
        <w:u w:val="single" w:color="174B8B"/>
        <w:color w:val="231F20"/>
        <w:spacing w:val="1"/>
        <w:position w:val="1"/>
      </w:rPr>
      <w:t xml:space="preserve">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21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6"/>
      </w:rPr>
      <w:t>15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98" style="position:absolute;margin-left:0pt;margin-top:0pt;mso-position-vertical-relative:page;mso-position-horizontal-relative:page;width:595.3pt;height:807.9pt;z-index:251679744;" o:allowincell="f" fillcolor="#D4E5F5" filled="true" stroked="false"/>
      </w:pict>
    </w:r>
    <w:r/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7"/>
        <w:position w:val="1"/>
      </w:rPr>
      <w:t>第二章</w:t>
    </w:r>
    <w:r>
      <w:rPr>
        <w:u w:val="single" w:color="174B8B"/>
        <w:color w:val="231F20"/>
        <w:spacing w:val="7"/>
        <w:position w:val="1"/>
      </w:rPr>
      <w:t xml:space="preserve">    </w:t>
    </w:r>
    <w:r>
      <w:rPr>
        <w:u w:val="single" w:color="174B8B"/>
        <w:color w:val="231F20"/>
        <w:spacing w:val="-7"/>
        <w:position w:val="1"/>
      </w:rPr>
      <w:t>银行业</w:t>
    </w:r>
    <w:r>
      <w:rPr>
        <w:u w:val="single" w:color="174B8B"/>
        <w:color w:val="231F20"/>
        <w:spacing w:val="1"/>
        <w:position w:val="1"/>
      </w:rPr>
      <w:t xml:space="preserve"> 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-7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7"/>
      </w:rPr>
      <w:t>19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16" style="position:absolute;margin-left:0pt;margin-top:0pt;mso-position-vertical-relative:page;mso-position-horizontal-relative:page;width:595.3pt;height:807.9pt;z-index:251659264;" o:allowincell="f" fillcolor="#D4E5F5" filled="true" stroked="false"/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21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3"/>
      </w:rPr>
      <w:t>20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158" name="IM 158"/>
          <wp:cNvGraphicFramePr/>
          <a:graphic>
            <a:graphicData uri="http://schemas.openxmlformats.org/drawingml/2006/picture">
              <pic:pic>
                <pic:nvPicPr>
                  <pic:cNvPr id="158" name="IM 1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7"/>
        <w:position w:val="1"/>
      </w:rPr>
      <w:t>第二章</w:t>
    </w:r>
    <w:r>
      <w:rPr>
        <w:u w:val="single" w:color="174B8B"/>
        <w:color w:val="231F20"/>
        <w:spacing w:val="7"/>
        <w:position w:val="1"/>
      </w:rPr>
      <w:t xml:space="preserve">    </w:t>
    </w:r>
    <w:r>
      <w:rPr>
        <w:u w:val="single" w:color="174B8B"/>
        <w:color w:val="231F20"/>
        <w:spacing w:val="-7"/>
        <w:position w:val="1"/>
      </w:rPr>
      <w:t>银行业</w:t>
    </w:r>
    <w:r>
      <w:rPr>
        <w:u w:val="single" w:color="174B8B"/>
        <w:color w:val="231F20"/>
        <w:spacing w:val="1"/>
        <w:position w:val="1"/>
      </w:rPr>
      <w:t xml:space="preserve">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4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7"/>
      </w:rPr>
      <w:t>21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21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3"/>
      </w:rPr>
      <w:t>22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162" name="IM 162"/>
          <wp:cNvGraphicFramePr/>
          <a:graphic>
            <a:graphicData uri="http://schemas.openxmlformats.org/drawingml/2006/picture">
              <pic:pic>
                <pic:nvPicPr>
                  <pic:cNvPr id="162" name="IM 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7"/>
        <w:position w:val="1"/>
      </w:rPr>
      <w:t>第二章</w:t>
    </w:r>
    <w:r>
      <w:rPr>
        <w:u w:val="single" w:color="174B8B"/>
        <w:color w:val="231F20"/>
        <w:spacing w:val="7"/>
        <w:position w:val="1"/>
      </w:rPr>
      <w:t xml:space="preserve">    </w:t>
    </w:r>
    <w:r>
      <w:rPr>
        <w:u w:val="single" w:color="174B8B"/>
        <w:color w:val="231F20"/>
        <w:spacing w:val="-7"/>
        <w:position w:val="1"/>
      </w:rPr>
      <w:t>银行业</w:t>
    </w:r>
    <w:r>
      <w:rPr>
        <w:u w:val="single" w:color="174B8B"/>
        <w:color w:val="231F20"/>
        <w:spacing w:val="1"/>
        <w:position w:val="1"/>
      </w:rPr>
      <w:t xml:space="preserve">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4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7"/>
      </w:rPr>
      <w:t>23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21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3"/>
      </w:rPr>
      <w:t>24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248" name="IM 248"/>
          <wp:cNvGraphicFramePr/>
          <a:graphic>
            <a:graphicData uri="http://schemas.openxmlformats.org/drawingml/2006/picture">
              <pic:pic>
                <pic:nvPicPr>
                  <pic:cNvPr id="248" name="IM 2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7"/>
        <w:position w:val="1"/>
      </w:rPr>
      <w:t>第二章</w:t>
    </w:r>
    <w:r>
      <w:rPr>
        <w:u w:val="single" w:color="174B8B"/>
        <w:color w:val="231F20"/>
        <w:spacing w:val="7"/>
        <w:position w:val="1"/>
      </w:rPr>
      <w:t xml:space="preserve">    </w:t>
    </w:r>
    <w:r>
      <w:rPr>
        <w:u w:val="single" w:color="174B8B"/>
        <w:color w:val="231F20"/>
        <w:spacing w:val="-7"/>
        <w:position w:val="1"/>
      </w:rPr>
      <w:t>银行业</w:t>
    </w:r>
    <w:r>
      <w:rPr>
        <w:u w:val="single" w:color="174B8B"/>
        <w:color w:val="231F20"/>
        <w:spacing w:val="1"/>
        <w:position w:val="1"/>
      </w:rPr>
      <w:t xml:space="preserve">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4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7"/>
      </w:rPr>
      <w:t>25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112" style="position:absolute;margin-left:0pt;margin-top:0pt;mso-position-vertical-relative:page;mso-position-horizontal-relative:page;width:595.3pt;height:807.9pt;z-index:251689984;" o:allowincell="f" fillcolor="#D4E5F5" filled="true" stroked="false"/>
      </w:pict>
    </w:r>
    <w:r/>
  </w:p>
</w:hdr>
</file>

<file path=word/header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第三章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非银行机构及其他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          </w:t>
    </w:r>
    <w:r>
      <w:rPr>
        <w:shd w:val="clear" w:fill="174B8B"/>
        <w:u w:val="single" w:color="174B8B"/>
        <w:color w:val="231F20"/>
        <w:spacing w:val="14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29  </w:t>
    </w:r>
  </w:p>
</w:hdr>
</file>

<file path=word/header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8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30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280" name="IM 280"/>
          <wp:cNvGraphicFramePr/>
          <a:graphic>
            <a:graphicData uri="http://schemas.openxmlformats.org/drawingml/2006/picture">
              <pic:pic>
                <pic:nvPicPr>
                  <pic:cNvPr id="280" name="IM 2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第三章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非银行机构及其他                 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31  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3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8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32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288" name="IM 288"/>
          <wp:cNvGraphicFramePr/>
          <a:graphic>
            <a:graphicData uri="http://schemas.openxmlformats.org/drawingml/2006/picture">
              <pic:pic>
                <pic:nvPicPr>
                  <pic:cNvPr id="288" name="IM 2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3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第三章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非银行机构及其他                 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33  </w:t>
    </w:r>
  </w:p>
</w:hdr>
</file>

<file path=word/header3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8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34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326" name="IM 326"/>
          <wp:cNvGraphicFramePr/>
          <a:graphic>
            <a:graphicData uri="http://schemas.openxmlformats.org/drawingml/2006/picture">
              <pic:pic>
                <pic:nvPicPr>
                  <pic:cNvPr id="326" name="IM 3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3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第三章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非银行机构及其他                 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35  </w:t>
    </w:r>
  </w:p>
</w:hdr>
</file>

<file path=word/header3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8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36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370" name="IM 370"/>
          <wp:cNvGraphicFramePr/>
          <a:graphic>
            <a:graphicData uri="http://schemas.openxmlformats.org/drawingml/2006/picture">
              <pic:pic>
                <pic:nvPicPr>
                  <pic:cNvPr id="370" name="IM 3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3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第三章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非银行机构及其他                 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37  </w:t>
    </w:r>
  </w:p>
</w:hdr>
</file>

<file path=word/header3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8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38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376" name="IM 376"/>
          <wp:cNvGraphicFramePr/>
          <a:graphic>
            <a:graphicData uri="http://schemas.openxmlformats.org/drawingml/2006/picture">
              <pic:pic>
                <pic:nvPicPr>
                  <pic:cNvPr id="376" name="IM 3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3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第三章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非银行机构及其他                 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39  </w:t>
    </w:r>
  </w:p>
</w:hdr>
</file>

<file path=word/header3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6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0"/>
      </w:rPr>
      <w:t>40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382" name="IM 382"/>
          <wp:cNvGraphicFramePr/>
          <a:graphic>
            <a:graphicData uri="http://schemas.openxmlformats.org/drawingml/2006/picture">
              <pic:pic>
                <pic:nvPicPr>
                  <pic:cNvPr id="382" name="IM 3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3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第三章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非银行机构及其他                 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41  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46" style="position:absolute;margin-left:0pt;margin-top:0pt;mso-position-vertical-relative:page;mso-position-horizontal-relative:page;width:595.3pt;height:807.9pt;z-index:251663360;" o:allowincell="f" fillcolor="#D4E5F5" filled="true" stroked="false"/>
      </w:pict>
    </w:r>
    <w:r/>
  </w:p>
</w:hdr>
</file>

<file path=word/header4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144" style="position:absolute;margin-left:0pt;margin-top:0pt;mso-position-vertical-relative:page;mso-position-horizontal-relative:page;width:595.3pt;height:807.9pt;z-index:251706368;" o:allowincell="f" fillcolor="#D4E5F5" filled="true" stroked="false"/>
      </w:pict>
    </w:r>
    <w:r/>
  </w:p>
</w:hdr>
</file>

<file path=word/header4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6"/>
        <w:position w:val="1"/>
      </w:rPr>
      <w:t>第四章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6"/>
        <w:position w:val="1"/>
      </w:rPr>
      <w:t>金融市场</w:t>
    </w:r>
    <w:r>
      <w:rPr>
        <w:u w:val="single" w:color="174B8B"/>
        <w:color w:val="231F20"/>
        <w:spacing w:val="1"/>
        <w:position w:val="1"/>
      </w:rPr>
      <w:t xml:space="preserve">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1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6"/>
      </w:rPr>
      <w:t>45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4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6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0"/>
      </w:rPr>
      <w:t>46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392" name="IM 392"/>
          <wp:cNvGraphicFramePr/>
          <a:graphic>
            <a:graphicData uri="http://schemas.openxmlformats.org/drawingml/2006/picture">
              <pic:pic>
                <pic:nvPicPr>
                  <pic:cNvPr id="392" name="IM 3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4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6"/>
        <w:position w:val="1"/>
      </w:rPr>
      <w:t>第四章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6"/>
        <w:position w:val="1"/>
      </w:rPr>
      <w:t>金融市场</w:t>
    </w:r>
    <w:r>
      <w:rPr>
        <w:u w:val="single" w:color="174B8B"/>
        <w:color w:val="231F20"/>
        <w:spacing w:val="1"/>
        <w:position w:val="1"/>
      </w:rPr>
      <w:t xml:space="preserve">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1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6"/>
      </w:rPr>
      <w:t>47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4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6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0"/>
      </w:rPr>
      <w:t>48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40" name="IM 440"/>
          <wp:cNvGraphicFramePr/>
          <a:graphic>
            <a:graphicData uri="http://schemas.openxmlformats.org/drawingml/2006/picture">
              <pic:pic>
                <pic:nvPicPr>
                  <pic:cNvPr id="440" name="IM 4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4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6"/>
        <w:position w:val="1"/>
      </w:rPr>
      <w:t>第四章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6"/>
        <w:position w:val="1"/>
      </w:rPr>
      <w:t>金融市场</w:t>
    </w:r>
    <w:r>
      <w:rPr>
        <w:u w:val="single" w:color="174B8B"/>
        <w:color w:val="231F20"/>
        <w:spacing w:val="1"/>
        <w:position w:val="1"/>
      </w:rPr>
      <w:t xml:space="preserve">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1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6"/>
      </w:rPr>
      <w:t>49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4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21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3"/>
      </w:rPr>
      <w:t>50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42" name="IM 442"/>
          <wp:cNvGraphicFramePr/>
          <a:graphic>
            <a:graphicData uri="http://schemas.openxmlformats.org/drawingml/2006/picture">
              <pic:pic>
                <pic:nvPicPr>
                  <pic:cNvPr id="442" name="IM 4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4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6"/>
        <w:position w:val="1"/>
      </w:rPr>
      <w:t>第四章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6"/>
        <w:position w:val="1"/>
      </w:rPr>
      <w:t>金融市场</w:t>
    </w:r>
    <w:r>
      <w:rPr>
        <w:u w:val="single" w:color="174B8B"/>
        <w:color w:val="231F20"/>
        <w:spacing w:val="1"/>
        <w:position w:val="1"/>
      </w:rPr>
      <w:t xml:space="preserve">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4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6"/>
      </w:rPr>
      <w:t>51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4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21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3"/>
      </w:rPr>
      <w:t>52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52" name="IM 452"/>
          <wp:cNvGraphicFramePr/>
          <a:graphic>
            <a:graphicData uri="http://schemas.openxmlformats.org/drawingml/2006/picture">
              <pic:pic>
                <pic:nvPicPr>
                  <pic:cNvPr id="452" name="IM 4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4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6"/>
        <w:position w:val="1"/>
      </w:rPr>
      <w:t>第四章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6"/>
        <w:position w:val="1"/>
      </w:rPr>
      <w:t>金融市场</w:t>
    </w:r>
    <w:r>
      <w:rPr>
        <w:u w:val="single" w:color="174B8B"/>
        <w:color w:val="231F20"/>
        <w:spacing w:val="1"/>
        <w:position w:val="1"/>
      </w:rPr>
      <w:t xml:space="preserve">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4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6"/>
      </w:rPr>
      <w:t>53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第一章</w:t>
    </w:r>
    <w:r>
      <w:rPr>
        <w:u w:val="single" w:color="174B8B"/>
        <w:color w:val="231F20"/>
        <w:spacing w:val="7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宏观经济运行                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-1"/>
        <w:position w:val="1"/>
      </w:rPr>
      <w:t xml:space="preserve"> 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1"/>
      </w:rPr>
      <w:t>3   </w:t>
    </w:r>
  </w:p>
</w:hdr>
</file>

<file path=word/header5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21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3"/>
      </w:rPr>
      <w:t>54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58" name="IM 458"/>
          <wp:cNvGraphicFramePr/>
          <a:graphic>
            <a:graphicData uri="http://schemas.openxmlformats.org/drawingml/2006/picture">
              <pic:pic>
                <pic:nvPicPr>
                  <pic:cNvPr id="458" name="IM 4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5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6"/>
        <w:position w:val="1"/>
      </w:rPr>
      <w:t>第四章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6"/>
        <w:position w:val="1"/>
      </w:rPr>
      <w:t>金融市场</w:t>
    </w:r>
    <w:r>
      <w:rPr>
        <w:u w:val="single" w:color="174B8B"/>
        <w:color w:val="231F20"/>
        <w:spacing w:val="1"/>
        <w:position w:val="1"/>
      </w:rPr>
      <w:t xml:space="preserve">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4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6"/>
      </w:rPr>
      <w:t>55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5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166" style="position:absolute;margin-left:0pt;margin-top:0pt;mso-position-vertical-relative:page;mso-position-horizontal-relative:page;width:595.3pt;height:807.9pt;z-index:251720704;" o:allowincell="f" fillcolor="#D4E5F5" filled="true" stroked="false"/>
      </w:pict>
    </w:r>
    <w:r/>
  </w:p>
</w:hdr>
</file>

<file path=word/header5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第五章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宏观审慎管理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59  </w:t>
    </w:r>
  </w:p>
</w:hdr>
</file>

<file path=word/header5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9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2"/>
      </w:rPr>
      <w:t>60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66" name="IM 466"/>
          <wp:cNvGraphicFramePr/>
          <a:graphic>
            <a:graphicData uri="http://schemas.openxmlformats.org/drawingml/2006/picture">
              <pic:pic>
                <pic:nvPicPr>
                  <pic:cNvPr id="466" name="IM 4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5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第五章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宏观审慎管理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61  </w:t>
    </w:r>
  </w:p>
</w:hdr>
</file>

<file path=word/header5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9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2"/>
      </w:rPr>
      <w:t>62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68" name="IM 468"/>
          <wp:cNvGraphicFramePr/>
          <a:graphic>
            <a:graphicData uri="http://schemas.openxmlformats.org/drawingml/2006/picture">
              <pic:pic>
                <pic:nvPicPr>
                  <pic:cNvPr id="468" name="IM 4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5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第五章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宏观审慎管理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63  </w:t>
    </w:r>
  </w:p>
</w:hdr>
</file>

<file path=word/header5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9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2"/>
      </w:rPr>
      <w:t>64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70" name="IM 470"/>
          <wp:cNvGraphicFramePr/>
          <a:graphic>
            <a:graphicData uri="http://schemas.openxmlformats.org/drawingml/2006/picture">
              <pic:pic>
                <pic:nvPicPr>
                  <pic:cNvPr id="470" name="IM 4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5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第五章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宏观审慎管理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65  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74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14"/>
      </w:rPr>
      <w:t>4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24" name="IM 24"/>
          <wp:cNvGraphicFramePr/>
          <a:graphic>
            <a:graphicData uri="http://schemas.openxmlformats.org/drawingml/2006/picture">
              <pic:pic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6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9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2"/>
      </w:rPr>
      <w:t>66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72" name="IM 472"/>
          <wp:cNvGraphicFramePr/>
          <a:graphic>
            <a:graphicData uri="http://schemas.openxmlformats.org/drawingml/2006/picture">
              <pic:pic>
                <pic:nvPicPr>
                  <pic:cNvPr id="472" name="IM 4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6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第五章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宏观审慎管理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67  </w:t>
    </w:r>
  </w:p>
</w:hdr>
</file>

<file path=word/header6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9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2"/>
      </w:rPr>
      <w:t>68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76" name="IM 476"/>
          <wp:cNvGraphicFramePr/>
          <a:graphic>
            <a:graphicData uri="http://schemas.openxmlformats.org/drawingml/2006/picture">
              <pic:pic>
                <pic:nvPicPr>
                  <pic:cNvPr id="476" name="IM 4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6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第五章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宏观审慎管理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69  </w:t>
    </w:r>
  </w:p>
</w:hdr>
</file>

<file path=word/header6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70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82" name="IM 482"/>
          <wp:cNvGraphicFramePr/>
          <a:graphic>
            <a:graphicData uri="http://schemas.openxmlformats.org/drawingml/2006/picture">
              <pic:pic>
                <pic:nvPicPr>
                  <pic:cNvPr id="482" name="IM 4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6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第五章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宏观审慎管理    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 </w:t>
    </w:r>
    <w:r>
      <w:rPr>
        <w:shd w:val="clear" w:fill="174B8B"/>
        <w:u w:val="single" w:color="174B8B"/>
        <w:color w:val="231F20"/>
        <w:spacing w:val="12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71  </w:t>
    </w:r>
  </w:p>
</w:hdr>
</file>

<file path=word/header6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72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488" name="IM 488"/>
          <wp:cNvGraphicFramePr/>
          <a:graphic>
            <a:graphicData uri="http://schemas.openxmlformats.org/drawingml/2006/picture">
              <pic:pic>
                <pic:nvPicPr>
                  <pic:cNvPr id="488" name="IM 4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6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58" w:line="151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专题一</w:t>
    </w:r>
    <w:r>
      <w:rPr>
        <w:u w:val="single" w:color="174B8B"/>
        <w:color w:val="231F20"/>
        <w:spacing w:val="7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央行金融机构评级结果分析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73  </w:t>
    </w:r>
  </w:p>
</w:hdr>
</file>

<file path=word/header6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74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516" name="IM 516"/>
          <wp:cNvGraphicFramePr/>
          <a:graphic>
            <a:graphicData uri="http://schemas.openxmlformats.org/drawingml/2006/picture">
              <pic:pic>
                <pic:nvPicPr>
                  <pic:cNvPr id="516" name="IM 5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6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"/>
      <w:spacing w:before="58" w:line="151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专题二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银行业压力测试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75  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第一章</w:t>
    </w:r>
    <w:r>
      <w:rPr>
        <w:u w:val="single" w:color="174B8B"/>
        <w:color w:val="231F20"/>
        <w:spacing w:val="7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宏观经济运行                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-1"/>
        <w:position w:val="1"/>
      </w:rPr>
      <w:t xml:space="preserve"> 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1"/>
      </w:rPr>
      <w:t>5   </w:t>
    </w:r>
  </w:p>
</w:hdr>
</file>

<file path=word/header7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76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518" name="IM 518"/>
          <wp:cNvGraphicFramePr/>
          <a:graphic>
            <a:graphicData uri="http://schemas.openxmlformats.org/drawingml/2006/picture">
              <pic:pic>
                <pic:nvPicPr>
                  <pic:cNvPr id="518" name="IM 5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7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"/>
      <w:spacing w:before="58" w:line="151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专题二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银行业压力测试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77  </w:t>
    </w:r>
  </w:p>
</w:hdr>
</file>

<file path=word/header7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"/>
      <w:spacing w:before="43" w:line="223" w:lineRule="auto"/>
      <w:tabs>
        <w:tab w:val="left" w:pos="173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78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594" name="IM 594"/>
          <wp:cNvGraphicFramePr/>
          <a:graphic>
            <a:graphicData uri="http://schemas.openxmlformats.org/drawingml/2006/picture">
              <pic:pic>
                <pic:nvPicPr>
                  <pic:cNvPr id="594" name="IM 5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7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58" w:line="151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专题二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银行业压力测试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             </w:t>
    </w:r>
    <w:r>
      <w:rPr>
        <w:shd w:val="clear" w:fill="174B8B"/>
        <w:u w:val="single" w:color="174B8B"/>
        <w:color w:val="231F20"/>
        <w:spacing w:val="-2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79  </w:t>
    </w:r>
  </w:p>
</w:hdr>
</file>

<file path=word/header7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8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80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00" name="IM 700"/>
          <wp:cNvGraphicFramePr/>
          <a:graphic>
            <a:graphicData uri="http://schemas.openxmlformats.org/drawingml/2006/picture">
              <pic:pic>
                <pic:nvPicPr>
                  <pic:cNvPr id="700" name="IM 7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7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58" w:line="151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专题三</w:t>
    </w:r>
    <w:r>
      <w:rPr>
        <w:u w:val="single" w:color="174B8B"/>
        <w:color w:val="231F20"/>
        <w:spacing w:val="6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银行业气候风险分析                                                                                                   </w:t>
    </w:r>
    <w:r>
      <w:rPr>
        <w:u w:val="single" w:color="174B8B"/>
        <w:color w:val="231F20"/>
        <w:spacing w:val="-2"/>
        <w:position w:val="1"/>
      </w:rPr>
      <w:t xml:space="preserve">                      </w:t>
    </w:r>
    <w:r>
      <w:rPr>
        <w:shd w:val="clear" w:fill="174B8B"/>
        <w:u w:val="single" w:color="174B8B"/>
        <w:color w:val="231F20"/>
        <w:spacing w:val="13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2"/>
      </w:rPr>
      <w:t>81  </w:t>
    </w:r>
  </w:p>
</w:hdr>
</file>

<file path=word/header7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8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82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02" name="IM 702"/>
          <wp:cNvGraphicFramePr/>
          <a:graphic>
            <a:graphicData uri="http://schemas.openxmlformats.org/drawingml/2006/picture">
              <pic:pic>
                <pic:nvPicPr>
                  <pic:cNvPr id="702" name="IM 7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7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58" w:line="151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position w:val="1"/>
      </w:rPr>
      <w:t>专题四    存款保险制度实施十年     有力保障金融稳定</w:t>
    </w:r>
    <w:r>
      <w:rPr>
        <w:u w:val="single" w:color="174B8B"/>
        <w:color w:val="231F20"/>
        <w:spacing w:val="-1"/>
        <w:position w:val="1"/>
      </w:rPr>
      <w:t>和安全                                                             </w:t>
    </w:r>
    <w:r>
      <w:rPr>
        <w:shd w:val="clear" w:fill="174B8B"/>
        <w:u w:val="single" w:color="174B8B"/>
        <w:color w:val="231F20"/>
        <w:spacing w:val="-1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1"/>
      </w:rPr>
      <w:t>83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7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8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84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04" name="IM 704"/>
          <wp:cNvGraphicFramePr/>
          <a:graphic>
            <a:graphicData uri="http://schemas.openxmlformats.org/drawingml/2006/picture">
              <pic:pic>
                <pic:nvPicPr>
                  <pic:cNvPr id="704" name="IM 7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7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58" w:line="151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position w:val="1"/>
      </w:rPr>
      <w:t>专题四    存款保险制度实施十年     有力保障金融稳定</w:t>
    </w:r>
    <w:r>
      <w:rPr>
        <w:u w:val="single" w:color="174B8B"/>
        <w:color w:val="231F20"/>
        <w:spacing w:val="-1"/>
        <w:position w:val="1"/>
      </w:rPr>
      <w:t>和安全                                                             </w:t>
    </w:r>
    <w:r>
      <w:rPr>
        <w:shd w:val="clear" w:fill="174B8B"/>
        <w:u w:val="single" w:color="174B8B"/>
        <w:color w:val="231F20"/>
        <w:spacing w:val="-1"/>
        <w:position w:val="1"/>
      </w:rPr>
      <w:t xml:space="preserve">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1"/>
      </w:rPr>
      <w:t>85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7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6"/>
      </w:rPr>
      <w:t>6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17"/>
      </w:rPr>
      <w:t xml:space="preserve">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54" name="IM 54"/>
          <wp:cNvGraphicFramePr/>
          <a:graphic>
            <a:graphicData uri="http://schemas.openxmlformats.org/drawingml/2006/picture">
              <pic:pic>
                <pic:nvPicPr>
                  <pic:cNvPr id="54" name="IM 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8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rect id="_x0000_s200" style="position:absolute;margin-left:0pt;margin-top:0pt;mso-position-vertical-relative:page;mso-position-horizontal-relative:page;width:595.3pt;height:807.9pt;z-index:251751424;" o:allowincell="f" fillcolor="#D4E5F5" filled="true" stroked="false"/>
      </w:pict>
    </w:r>
    <w:r/>
  </w:p>
</w:hdr>
</file>

<file path=word/header8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9"/>
        <w:position w:val="1"/>
      </w:rPr>
      <w:t>附录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9"/>
        <w:position w:val="1"/>
      </w:rPr>
      <w:t>统计资料</w:t>
    </w:r>
    <w:r>
      <w:rPr>
        <w:u w:val="single" w:color="174B8B"/>
        <w:color w:val="231F20"/>
        <w:spacing w:val="1"/>
        <w:position w:val="1"/>
      </w:rPr>
      <w:t xml:space="preserve">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2"/>
        <w:w w:val="102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9"/>
      </w:rPr>
      <w:t>89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8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90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10" name="IM 710"/>
          <wp:cNvGraphicFramePr/>
          <a:graphic>
            <a:graphicData uri="http://schemas.openxmlformats.org/drawingml/2006/picture">
              <pic:pic>
                <pic:nvPicPr>
                  <pic:cNvPr id="710" name="IM 7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8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9"/>
        <w:position w:val="1"/>
      </w:rPr>
      <w:t>附录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9"/>
        <w:position w:val="1"/>
      </w:rPr>
      <w:t>统计资料</w:t>
    </w:r>
    <w:r>
      <w:rPr>
        <w:u w:val="single" w:color="174B8B"/>
        <w:color w:val="231F20"/>
        <w:spacing w:val="1"/>
        <w:position w:val="1"/>
      </w:rPr>
      <w:t xml:space="preserve"> 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2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9"/>
      </w:rPr>
      <w:t>91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8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92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20" name="IM 720"/>
          <wp:cNvGraphicFramePr/>
          <a:graphic>
            <a:graphicData uri="http://schemas.openxmlformats.org/drawingml/2006/picture">
              <pic:pic>
                <pic:nvPicPr>
                  <pic:cNvPr id="720" name="IM 7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8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9"/>
        <w:position w:val="1"/>
      </w:rPr>
      <w:t>附录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9"/>
        <w:position w:val="1"/>
      </w:rPr>
      <w:t>统计资料</w:t>
    </w:r>
    <w:r>
      <w:rPr>
        <w:u w:val="single" w:color="174B8B"/>
        <w:color w:val="231F20"/>
        <w:spacing w:val="1"/>
        <w:position w:val="1"/>
      </w:rPr>
      <w:t xml:space="preserve"> 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2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9"/>
      </w:rPr>
      <w:t>93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8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94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26" name="IM 726"/>
          <wp:cNvGraphicFramePr/>
          <a:graphic>
            <a:graphicData uri="http://schemas.openxmlformats.org/drawingml/2006/picture">
              <pic:pic>
                <pic:nvPicPr>
                  <pic:cNvPr id="726" name="IM 7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8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9"/>
        <w:position w:val="1"/>
      </w:rPr>
      <w:t>附录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9"/>
        <w:position w:val="1"/>
      </w:rPr>
      <w:t>统计资料</w:t>
    </w:r>
    <w:r>
      <w:rPr>
        <w:u w:val="single" w:color="174B8B"/>
        <w:color w:val="231F20"/>
        <w:spacing w:val="1"/>
        <w:position w:val="1"/>
      </w:rPr>
      <w:t xml:space="preserve"> 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2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9"/>
      </w:rPr>
      <w:t>95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8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96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32" name="IM 732"/>
          <wp:cNvGraphicFramePr/>
          <a:graphic>
            <a:graphicData uri="http://schemas.openxmlformats.org/drawingml/2006/picture">
              <pic:pic>
                <pic:nvPicPr>
                  <pic:cNvPr id="732" name="IM 7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8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9"/>
        <w:position w:val="1"/>
      </w:rPr>
      <w:t>附录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9"/>
        <w:position w:val="1"/>
      </w:rPr>
      <w:t>统计资料</w:t>
    </w:r>
    <w:r>
      <w:rPr>
        <w:u w:val="single" w:color="174B8B"/>
        <w:color w:val="231F20"/>
        <w:spacing w:val="1"/>
        <w:position w:val="1"/>
      </w:rPr>
      <w:t xml:space="preserve"> 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2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9"/>
      </w:rPr>
      <w:t>97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1"/>
        <w:position w:val="1"/>
      </w:rPr>
      <w:t>第一章</w:t>
    </w:r>
    <w:r>
      <w:rPr>
        <w:u w:val="single" w:color="174B8B"/>
        <w:color w:val="231F20"/>
        <w:spacing w:val="7"/>
        <w:position w:val="1"/>
      </w:rPr>
      <w:t xml:space="preserve">    </w:t>
    </w:r>
    <w:r>
      <w:rPr>
        <w:u w:val="single" w:color="174B8B"/>
        <w:color w:val="231F20"/>
        <w:spacing w:val="-1"/>
        <w:position w:val="1"/>
      </w:rPr>
      <w:t>宏观经济运行                                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-1"/>
        <w:position w:val="1"/>
      </w:rPr>
      <w:t xml:space="preserve">  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1"/>
      </w:rPr>
      <w:t>7   </w:t>
    </w:r>
  </w:p>
</w:hdr>
</file>

<file path=word/header9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11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1"/>
      </w:rPr>
      <w:t>98</w:t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43"/>
      </w:rPr>
      <w:t xml:space="preserve">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38" name="IM 738"/>
          <wp:cNvGraphicFramePr/>
          <a:graphic>
            <a:graphicData uri="http://schemas.openxmlformats.org/drawingml/2006/picture">
              <pic:pic>
                <pic:nvPicPr>
                  <pic:cNvPr id="738" name="IM 7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9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9"/>
        <w:position w:val="1"/>
      </w:rPr>
      <w:t>附录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9"/>
        <w:position w:val="1"/>
      </w:rPr>
      <w:t>统计资料</w:t>
    </w:r>
    <w:r>
      <w:rPr>
        <w:u w:val="single" w:color="174B8B"/>
        <w:color w:val="231F20"/>
        <w:spacing w:val="1"/>
        <w:position w:val="1"/>
      </w:rPr>
      <w:t xml:space="preserve"> 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12"/>
        <w:w w:val="101"/>
        <w:position w:val="1"/>
      </w:rPr>
      <w:t xml:space="preserve"> 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9"/>
      </w:rPr>
      <w:t>99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</w:rPr>
      <w:t xml:space="preserve">  </w:t>
    </w:r>
  </w:p>
</w:hdr>
</file>

<file path=word/header9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7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9"/>
        <w:position w:val="1"/>
      </w:rPr>
      <w:t>附录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9"/>
        <w:position w:val="1"/>
      </w:rPr>
      <w:t>统计资料</w:t>
    </w:r>
    <w:r>
      <w:rPr>
        <w:u w:val="single" w:color="174B8B"/>
        <w:color w:val="231F20"/>
        <w:spacing w:val="1"/>
        <w:position w:val="1"/>
      </w:rPr>
      <w:t xml:space="preserve">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32"/>
        <w:position w:val="1"/>
      </w:rPr>
      <w:t xml:space="preserve">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9"/>
      </w:rPr>
      <w:t>101</w:t>
    </w:r>
  </w:p>
</w:hdr>
</file>

<file path=word/header9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7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6"/>
      </w:rPr>
      <w:t>102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62" name="IM 762"/>
          <wp:cNvGraphicFramePr/>
          <a:graphic>
            <a:graphicData uri="http://schemas.openxmlformats.org/drawingml/2006/picture">
              <pic:pic>
                <pic:nvPicPr>
                  <pic:cNvPr id="762" name="IM 7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9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88"/>
      <w:spacing w:before="60" w:line="150" w:lineRule="auto"/>
      <w:rPr>
        <w:rFonts w:ascii="DejaVu Sans" w:hAnsi="DejaVu Sans" w:eastAsia="DejaVu Sans" w:cs="DejaVu Sans"/>
      </w:rPr>
    </w:pPr>
    <w:r>
      <w:rPr>
        <w:u w:val="single" w:color="174B8B"/>
        <w:color w:val="231F20"/>
        <w:spacing w:val="-9"/>
        <w:position w:val="1"/>
      </w:rPr>
      <w:t>附录</w:t>
    </w:r>
    <w:r>
      <w:rPr>
        <w:u w:val="single" w:color="174B8B"/>
        <w:color w:val="231F20"/>
        <w:spacing w:val="8"/>
        <w:position w:val="1"/>
      </w:rPr>
      <w:t xml:space="preserve">    </w:t>
    </w:r>
    <w:r>
      <w:rPr>
        <w:u w:val="single" w:color="174B8B"/>
        <w:color w:val="231F20"/>
        <w:spacing w:val="-9"/>
        <w:position w:val="1"/>
      </w:rPr>
      <w:t>统计资料</w:t>
    </w:r>
    <w:r>
      <w:rPr>
        <w:u w:val="single" w:color="174B8B"/>
        <w:color w:val="231F20"/>
        <w:spacing w:val="1"/>
        <w:position w:val="1"/>
      </w:rPr>
      <w:t xml:space="preserve">                                           </w:t>
    </w:r>
    <w:r>
      <w:rPr>
        <w:u w:val="single" w:color="174B8B"/>
        <w:color w:val="231F20"/>
        <w:position w:val="1"/>
      </w:rPr>
      <w:t xml:space="preserve">                                                                                                      </w:t>
    </w:r>
    <w:r>
      <w:rPr>
        <w:shd w:val="clear" w:fill="174B8B"/>
        <w:u w:val="single" w:color="174B8B"/>
        <w:color w:val="231F20"/>
        <w:spacing w:val="32"/>
        <w:position w:val="1"/>
      </w:rPr>
      <w:t xml:space="preserve"> </w:t>
    </w:r>
    <w:r>
      <w:rPr>
        <w:shd w:val="clear" w:fill="174B8B"/>
        <w:rFonts w:ascii="DejaVu Sans" w:hAnsi="DejaVu Sans" w:eastAsia="DejaVu Sans" w:cs="DejaVu Sans"/>
        <w:u w:val="single" w:color="174B8B"/>
        <w:color w:val="FFFFFF"/>
        <w:spacing w:val="-9"/>
      </w:rPr>
      <w:t>103</w:t>
    </w:r>
  </w:p>
</w:hdr>
</file>

<file path=word/header9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9"/>
      <w:spacing w:before="43" w:line="223" w:lineRule="auto"/>
      <w:tabs>
        <w:tab w:val="left" w:pos="176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6"/>
      </w:rPr>
      <w:t>104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768" name="IM 768"/>
          <wp:cNvGraphicFramePr/>
          <a:graphic>
            <a:graphicData uri="http://schemas.openxmlformats.org/drawingml/2006/picture">
              <pic:pic>
                <pic:nvPicPr>
                  <pic:cNvPr id="768" name="IM 7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header9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before="43" w:line="223" w:lineRule="auto"/>
      <w:tabs>
        <w:tab w:val="left" w:pos="77"/>
      </w:tabs>
      <w:rPr>
        <w:rFonts w:ascii="DejaVu Sans" w:hAnsi="DejaVu Sans" w:eastAsia="DejaVu Sans" w:cs="DejaVu Sans"/>
        <w:sz w:val="21"/>
        <w:szCs w:val="21"/>
      </w:rPr>
    </w:pP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</w:rPr>
      <w:tab/>
    </w:r>
    <w:r>
      <w:rPr>
        <w:shd w:val="clear" w:fill="174B8B"/>
        <w:rFonts w:ascii="DejaVu Sans" w:hAnsi="DejaVu Sans" w:eastAsia="DejaVu Sans" w:cs="DejaVu Sans"/>
        <w:sz w:val="21"/>
        <w:szCs w:val="21"/>
        <w:u w:val="single" w:color="174B8B"/>
        <w:color w:val="FFFFFF"/>
        <w:spacing w:val="-26"/>
      </w:rPr>
      <w:t>108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  <w:spacing w:val="1"/>
      </w:rPr>
      <w:t xml:space="preserve">                          </w:t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                                                                     </w:t>
    </w:r>
    <w:r>
      <w:rPr>
        <w:sz w:val="21"/>
        <w:szCs w:val="21"/>
      </w:rPr>
      <w:drawing>
        <wp:inline distT="0" distB="0" distL="0" distR="0">
          <wp:extent cx="1136815" cy="151027"/>
          <wp:effectExtent l="0" t="0" r="0" b="0"/>
          <wp:docPr id="800" name="IM 800"/>
          <wp:cNvGraphicFramePr/>
          <a:graphic>
            <a:graphicData uri="http://schemas.openxmlformats.org/drawingml/2006/picture">
              <pic:pic>
                <pic:nvPicPr>
                  <pic:cNvPr id="800" name="IM 8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136815" cy="1510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DejaVu Sans" w:hAnsi="DejaVu Sans" w:eastAsia="DejaVu Sans" w:cs="DejaVu Sans"/>
        <w:sz w:val="21"/>
        <w:szCs w:val="21"/>
        <w:u w:val="single" w:color="174B8B"/>
        <w:color w:val="FFFFFF"/>
      </w:rPr>
      <w:t xml:space="preserve">  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Noto Sans CJK SC Regular" w:hAnsi="Noto Sans CJK SC Regular" w:eastAsia="Noto Sans CJK SC Regular" w:cs="Noto Sans CJK SC Regular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Noto Sans CJK SC Regular" w:hAnsi="Noto Sans CJK SC Regular" w:eastAsia="Noto Sans CJK SC Regular" w:cs="Noto Sans CJK SC Regular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Noto Sans CJK SC Regular" w:hAnsi="Noto Sans CJK SC Regular" w:eastAsia="Noto Sans CJK SC Regular" w:cs="Noto Sans CJK SC Regular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82.jpeg"/><Relationship Id="rId98" Type="http://schemas.openxmlformats.org/officeDocument/2006/relationships/image" Target="media/image81.png"/><Relationship Id="rId97" Type="http://schemas.openxmlformats.org/officeDocument/2006/relationships/image" Target="media/image80.png"/><Relationship Id="rId96" Type="http://schemas.openxmlformats.org/officeDocument/2006/relationships/image" Target="media/image79.png"/><Relationship Id="rId95" Type="http://schemas.openxmlformats.org/officeDocument/2006/relationships/image" Target="media/image78.png"/><Relationship Id="rId94" Type="http://schemas.openxmlformats.org/officeDocument/2006/relationships/image" Target="media/image77.png"/><Relationship Id="rId93" Type="http://schemas.openxmlformats.org/officeDocument/2006/relationships/image" Target="media/image76.png"/><Relationship Id="rId92" Type="http://schemas.openxmlformats.org/officeDocument/2006/relationships/image" Target="media/image75.png"/><Relationship Id="rId91" Type="http://schemas.openxmlformats.org/officeDocument/2006/relationships/image" Target="media/image74.png"/><Relationship Id="rId90" Type="http://schemas.openxmlformats.org/officeDocument/2006/relationships/image" Target="media/image73.png"/><Relationship Id="rId9" Type="http://schemas.openxmlformats.org/officeDocument/2006/relationships/header" Target="header4.xml"/><Relationship Id="rId89" Type="http://schemas.openxmlformats.org/officeDocument/2006/relationships/image" Target="media/image72.png"/><Relationship Id="rId88" Type="http://schemas.openxmlformats.org/officeDocument/2006/relationships/image" Target="media/image71.png"/><Relationship Id="rId87" Type="http://schemas.openxmlformats.org/officeDocument/2006/relationships/image" Target="media/image70.png"/><Relationship Id="rId86" Type="http://schemas.openxmlformats.org/officeDocument/2006/relationships/image" Target="media/image69.jpeg"/><Relationship Id="rId85" Type="http://schemas.openxmlformats.org/officeDocument/2006/relationships/image" Target="media/image68.jpeg"/><Relationship Id="rId84" Type="http://schemas.openxmlformats.org/officeDocument/2006/relationships/header" Target="header22.xml"/><Relationship Id="rId83" Type="http://schemas.openxmlformats.org/officeDocument/2006/relationships/header" Target="header21.xml"/><Relationship Id="rId82" Type="http://schemas.openxmlformats.org/officeDocument/2006/relationships/header" Target="header20.xml"/><Relationship Id="rId81" Type="http://schemas.openxmlformats.org/officeDocument/2006/relationships/image" Target="media/image65.png"/><Relationship Id="rId80" Type="http://schemas.openxmlformats.org/officeDocument/2006/relationships/image" Target="media/image64.jpeg"/><Relationship Id="rId8" Type="http://schemas.openxmlformats.org/officeDocument/2006/relationships/image" Target="media/image4.png"/><Relationship Id="rId79" Type="http://schemas.openxmlformats.org/officeDocument/2006/relationships/image" Target="media/image63.jpeg"/><Relationship Id="rId78" Type="http://schemas.openxmlformats.org/officeDocument/2006/relationships/image" Target="media/image62.png"/><Relationship Id="rId77" Type="http://schemas.openxmlformats.org/officeDocument/2006/relationships/image" Target="media/image61.png"/><Relationship Id="rId76" Type="http://schemas.openxmlformats.org/officeDocument/2006/relationships/image" Target="media/image60.png"/><Relationship Id="rId75" Type="http://schemas.openxmlformats.org/officeDocument/2006/relationships/image" Target="media/image59.png"/><Relationship Id="rId74" Type="http://schemas.openxmlformats.org/officeDocument/2006/relationships/image" Target="media/image58.png"/><Relationship Id="rId73" Type="http://schemas.openxmlformats.org/officeDocument/2006/relationships/image" Target="media/image57.png"/><Relationship Id="rId72" Type="http://schemas.openxmlformats.org/officeDocument/2006/relationships/image" Target="media/image56.png"/><Relationship Id="rId71" Type="http://schemas.openxmlformats.org/officeDocument/2006/relationships/image" Target="media/image55.png"/><Relationship Id="rId70" Type="http://schemas.openxmlformats.org/officeDocument/2006/relationships/image" Target="media/image54.png"/><Relationship Id="rId7" Type="http://schemas.openxmlformats.org/officeDocument/2006/relationships/image" Target="media/image3.png"/><Relationship Id="rId69" Type="http://schemas.openxmlformats.org/officeDocument/2006/relationships/image" Target="media/image53.png"/><Relationship Id="rId68" Type="http://schemas.openxmlformats.org/officeDocument/2006/relationships/image" Target="media/image52.png"/><Relationship Id="rId67" Type="http://schemas.openxmlformats.org/officeDocument/2006/relationships/image" Target="media/image51.jpeg"/><Relationship Id="rId66" Type="http://schemas.openxmlformats.org/officeDocument/2006/relationships/image" Target="media/image50.jpeg"/><Relationship Id="rId65" Type="http://schemas.openxmlformats.org/officeDocument/2006/relationships/image" Target="media/image49.png"/><Relationship Id="rId64" Type="http://schemas.openxmlformats.org/officeDocument/2006/relationships/image" Target="media/image48.png"/><Relationship Id="rId63" Type="http://schemas.openxmlformats.org/officeDocument/2006/relationships/image" Target="media/image47.png"/><Relationship Id="rId62" Type="http://schemas.openxmlformats.org/officeDocument/2006/relationships/image" Target="media/image46.png"/><Relationship Id="rId61" Type="http://schemas.openxmlformats.org/officeDocument/2006/relationships/image" Target="media/image45.png"/><Relationship Id="rId60" Type="http://schemas.openxmlformats.org/officeDocument/2006/relationships/image" Target="media/image44.png"/><Relationship Id="rId6" Type="http://schemas.openxmlformats.org/officeDocument/2006/relationships/footer" Target="footer1.xml"/><Relationship Id="rId59" Type="http://schemas.openxmlformats.org/officeDocument/2006/relationships/image" Target="media/image43.png"/><Relationship Id="rId58" Type="http://schemas.openxmlformats.org/officeDocument/2006/relationships/image" Target="media/image42.png"/><Relationship Id="rId57" Type="http://schemas.openxmlformats.org/officeDocument/2006/relationships/image" Target="media/image41.png"/><Relationship Id="rId56" Type="http://schemas.openxmlformats.org/officeDocument/2006/relationships/image" Target="media/image40.png"/><Relationship Id="rId55" Type="http://schemas.openxmlformats.org/officeDocument/2006/relationships/image" Target="media/image39.png"/><Relationship Id="rId54" Type="http://schemas.openxmlformats.org/officeDocument/2006/relationships/image" Target="media/image38.png"/><Relationship Id="rId53" Type="http://schemas.openxmlformats.org/officeDocument/2006/relationships/image" Target="media/image37.jpeg"/><Relationship Id="rId52" Type="http://schemas.openxmlformats.org/officeDocument/2006/relationships/image" Target="media/image36.jpeg"/><Relationship Id="rId51" Type="http://schemas.openxmlformats.org/officeDocument/2006/relationships/header" Target="header19.xml"/><Relationship Id="rId50" Type="http://schemas.openxmlformats.org/officeDocument/2006/relationships/header" Target="header18.xml"/><Relationship Id="rId5" Type="http://schemas.openxmlformats.org/officeDocument/2006/relationships/header" Target="header3.xml"/><Relationship Id="rId49" Type="http://schemas.openxmlformats.org/officeDocument/2006/relationships/header" Target="header17.xml"/><Relationship Id="rId48" Type="http://schemas.openxmlformats.org/officeDocument/2006/relationships/header" Target="header16.xml"/><Relationship Id="rId47" Type="http://schemas.openxmlformats.org/officeDocument/2006/relationships/header" Target="header15.xml"/><Relationship Id="rId46" Type="http://schemas.openxmlformats.org/officeDocument/2006/relationships/header" Target="header14.xml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header" Target="header13.xml"/><Relationship Id="rId42" Type="http://schemas.openxmlformats.org/officeDocument/2006/relationships/image" Target="media/image31.png"/><Relationship Id="rId416" Type="http://schemas.openxmlformats.org/officeDocument/2006/relationships/fontTable" Target="fontTable.xml"/><Relationship Id="rId415" Type="http://schemas.openxmlformats.org/officeDocument/2006/relationships/styles" Target="styles.xml"/><Relationship Id="rId414" Type="http://schemas.openxmlformats.org/officeDocument/2006/relationships/settings" Target="settings.xml"/><Relationship Id="rId413" Type="http://schemas.openxmlformats.org/officeDocument/2006/relationships/image" Target="media/image355.png"/><Relationship Id="rId412" Type="http://schemas.openxmlformats.org/officeDocument/2006/relationships/header" Target="header96.xml"/><Relationship Id="rId411" Type="http://schemas.openxmlformats.org/officeDocument/2006/relationships/image" Target="media/image353.png"/><Relationship Id="rId410" Type="http://schemas.openxmlformats.org/officeDocument/2006/relationships/image" Target="media/image352.png"/><Relationship Id="rId41" Type="http://schemas.openxmlformats.org/officeDocument/2006/relationships/image" Target="media/image30.png"/><Relationship Id="rId409" Type="http://schemas.openxmlformats.org/officeDocument/2006/relationships/image" Target="media/image351.png"/><Relationship Id="rId408" Type="http://schemas.openxmlformats.org/officeDocument/2006/relationships/image" Target="media/image350.png"/><Relationship Id="rId407" Type="http://schemas.openxmlformats.org/officeDocument/2006/relationships/image" Target="media/image349.png"/><Relationship Id="rId406" Type="http://schemas.openxmlformats.org/officeDocument/2006/relationships/image" Target="media/image348.png"/><Relationship Id="rId405" Type="http://schemas.openxmlformats.org/officeDocument/2006/relationships/image" Target="media/image347.png"/><Relationship Id="rId404" Type="http://schemas.openxmlformats.org/officeDocument/2006/relationships/image" Target="media/image346.png"/><Relationship Id="rId403" Type="http://schemas.openxmlformats.org/officeDocument/2006/relationships/image" Target="media/image345.png"/><Relationship Id="rId402" Type="http://schemas.openxmlformats.org/officeDocument/2006/relationships/image" Target="media/image344.png"/><Relationship Id="rId401" Type="http://schemas.openxmlformats.org/officeDocument/2006/relationships/image" Target="media/image343.png"/><Relationship Id="rId400" Type="http://schemas.openxmlformats.org/officeDocument/2006/relationships/header" Target="header95.xml"/><Relationship Id="rId40" Type="http://schemas.openxmlformats.org/officeDocument/2006/relationships/header" Target="header12.xml"/><Relationship Id="rId4" Type="http://schemas.openxmlformats.org/officeDocument/2006/relationships/header" Target="header2.xml"/><Relationship Id="rId399" Type="http://schemas.openxmlformats.org/officeDocument/2006/relationships/image" Target="media/image341.png"/><Relationship Id="rId398" Type="http://schemas.openxmlformats.org/officeDocument/2006/relationships/header" Target="header94.xml"/><Relationship Id="rId397" Type="http://schemas.openxmlformats.org/officeDocument/2006/relationships/image" Target="media/image340.png"/><Relationship Id="rId396" Type="http://schemas.openxmlformats.org/officeDocument/2006/relationships/header" Target="header93.xml"/><Relationship Id="rId395" Type="http://schemas.openxmlformats.org/officeDocument/2006/relationships/header" Target="header92.xml"/><Relationship Id="rId394" Type="http://schemas.openxmlformats.org/officeDocument/2006/relationships/image" Target="media/image338.png"/><Relationship Id="rId393" Type="http://schemas.openxmlformats.org/officeDocument/2006/relationships/image" Target="media/image337.png"/><Relationship Id="rId392" Type="http://schemas.openxmlformats.org/officeDocument/2006/relationships/image" Target="media/image336.png"/><Relationship Id="rId391" Type="http://schemas.openxmlformats.org/officeDocument/2006/relationships/image" Target="media/image335.png"/><Relationship Id="rId390" Type="http://schemas.openxmlformats.org/officeDocument/2006/relationships/image" Target="media/image334.png"/><Relationship Id="rId39" Type="http://schemas.openxmlformats.org/officeDocument/2006/relationships/header" Target="header11.xml"/><Relationship Id="rId389" Type="http://schemas.openxmlformats.org/officeDocument/2006/relationships/image" Target="media/image333.png"/><Relationship Id="rId388" Type="http://schemas.openxmlformats.org/officeDocument/2006/relationships/image" Target="media/image332.png"/><Relationship Id="rId387" Type="http://schemas.openxmlformats.org/officeDocument/2006/relationships/image" Target="media/image331.jpeg"/><Relationship Id="rId386" Type="http://schemas.openxmlformats.org/officeDocument/2006/relationships/image" Target="media/image330.png"/><Relationship Id="rId385" Type="http://schemas.openxmlformats.org/officeDocument/2006/relationships/header" Target="header91.xml"/><Relationship Id="rId384" Type="http://schemas.openxmlformats.org/officeDocument/2006/relationships/image" Target="media/image329.png"/><Relationship Id="rId383" Type="http://schemas.openxmlformats.org/officeDocument/2006/relationships/header" Target="header90.xml"/><Relationship Id="rId382" Type="http://schemas.openxmlformats.org/officeDocument/2006/relationships/image" Target="media/image327.png"/><Relationship Id="rId381" Type="http://schemas.openxmlformats.org/officeDocument/2006/relationships/header" Target="header89.xml"/><Relationship Id="rId380" Type="http://schemas.openxmlformats.org/officeDocument/2006/relationships/image" Target="media/image326.png"/><Relationship Id="rId38" Type="http://schemas.openxmlformats.org/officeDocument/2006/relationships/image" Target="media/image28.png"/><Relationship Id="rId379" Type="http://schemas.openxmlformats.org/officeDocument/2006/relationships/header" Target="header88.xml"/><Relationship Id="rId378" Type="http://schemas.openxmlformats.org/officeDocument/2006/relationships/image" Target="media/image324.png"/><Relationship Id="rId377" Type="http://schemas.openxmlformats.org/officeDocument/2006/relationships/header" Target="header87.xml"/><Relationship Id="rId376" Type="http://schemas.openxmlformats.org/officeDocument/2006/relationships/image" Target="media/image323.png"/><Relationship Id="rId375" Type="http://schemas.openxmlformats.org/officeDocument/2006/relationships/header" Target="header86.xml"/><Relationship Id="rId374" Type="http://schemas.openxmlformats.org/officeDocument/2006/relationships/image" Target="media/image321.png"/><Relationship Id="rId373" Type="http://schemas.openxmlformats.org/officeDocument/2006/relationships/header" Target="header85.xml"/><Relationship Id="rId372" Type="http://schemas.openxmlformats.org/officeDocument/2006/relationships/image" Target="media/image320.png"/><Relationship Id="rId371" Type="http://schemas.openxmlformats.org/officeDocument/2006/relationships/header" Target="header84.xml"/><Relationship Id="rId370" Type="http://schemas.openxmlformats.org/officeDocument/2006/relationships/image" Target="media/image318.png"/><Relationship Id="rId37" Type="http://schemas.openxmlformats.org/officeDocument/2006/relationships/image" Target="media/image27.png"/><Relationship Id="rId369" Type="http://schemas.openxmlformats.org/officeDocument/2006/relationships/header" Target="header83.xml"/><Relationship Id="rId368" Type="http://schemas.openxmlformats.org/officeDocument/2006/relationships/image" Target="media/image317.png"/><Relationship Id="rId367" Type="http://schemas.openxmlformats.org/officeDocument/2006/relationships/image" Target="media/image316.png"/><Relationship Id="rId366" Type="http://schemas.openxmlformats.org/officeDocument/2006/relationships/header" Target="header82.xml"/><Relationship Id="rId365" Type="http://schemas.openxmlformats.org/officeDocument/2006/relationships/image" Target="media/image314.png"/><Relationship Id="rId364" Type="http://schemas.openxmlformats.org/officeDocument/2006/relationships/header" Target="header81.xml"/><Relationship Id="rId363" Type="http://schemas.openxmlformats.org/officeDocument/2006/relationships/header" Target="header80.xml"/><Relationship Id="rId362" Type="http://schemas.openxmlformats.org/officeDocument/2006/relationships/header" Target="header79.xml"/><Relationship Id="rId361" Type="http://schemas.openxmlformats.org/officeDocument/2006/relationships/header" Target="header78.xml"/><Relationship Id="rId360" Type="http://schemas.openxmlformats.org/officeDocument/2006/relationships/header" Target="header77.xml"/><Relationship Id="rId36" Type="http://schemas.openxmlformats.org/officeDocument/2006/relationships/header" Target="header10.xml"/><Relationship Id="rId359" Type="http://schemas.openxmlformats.org/officeDocument/2006/relationships/header" Target="header76.xml"/><Relationship Id="rId358" Type="http://schemas.openxmlformats.org/officeDocument/2006/relationships/header" Target="header75.xml"/><Relationship Id="rId357" Type="http://schemas.openxmlformats.org/officeDocument/2006/relationships/header" Target="header74.xml"/><Relationship Id="rId356" Type="http://schemas.openxmlformats.org/officeDocument/2006/relationships/image" Target="media/image310.png"/><Relationship Id="rId355" Type="http://schemas.openxmlformats.org/officeDocument/2006/relationships/image" Target="media/image309.png"/><Relationship Id="rId354" Type="http://schemas.openxmlformats.org/officeDocument/2006/relationships/header" Target="header73.xml"/><Relationship Id="rId353" Type="http://schemas.openxmlformats.org/officeDocument/2006/relationships/image" Target="media/image308.png"/><Relationship Id="rId352" Type="http://schemas.openxmlformats.org/officeDocument/2006/relationships/image" Target="media/image307.jpeg"/><Relationship Id="rId351" Type="http://schemas.openxmlformats.org/officeDocument/2006/relationships/image" Target="media/image306.jpeg"/><Relationship Id="rId350" Type="http://schemas.openxmlformats.org/officeDocument/2006/relationships/image" Target="media/image305.jpeg"/><Relationship Id="rId35" Type="http://schemas.openxmlformats.org/officeDocument/2006/relationships/header" Target="header9.xml"/><Relationship Id="rId349" Type="http://schemas.openxmlformats.org/officeDocument/2006/relationships/image" Target="media/image304.jpeg"/><Relationship Id="rId348" Type="http://schemas.openxmlformats.org/officeDocument/2006/relationships/image" Target="media/image303.jpeg"/><Relationship Id="rId347" Type="http://schemas.openxmlformats.org/officeDocument/2006/relationships/image" Target="media/image302.jpeg"/><Relationship Id="rId346" Type="http://schemas.openxmlformats.org/officeDocument/2006/relationships/image" Target="media/image301.png"/><Relationship Id="rId345" Type="http://schemas.openxmlformats.org/officeDocument/2006/relationships/image" Target="media/image300.jpeg"/><Relationship Id="rId344" Type="http://schemas.openxmlformats.org/officeDocument/2006/relationships/image" Target="media/image299.jpeg"/><Relationship Id="rId343" Type="http://schemas.openxmlformats.org/officeDocument/2006/relationships/image" Target="media/image298.jpeg"/><Relationship Id="rId342" Type="http://schemas.openxmlformats.org/officeDocument/2006/relationships/image" Target="media/image297.jpeg"/><Relationship Id="rId341" Type="http://schemas.openxmlformats.org/officeDocument/2006/relationships/image" Target="media/image296.jpeg"/><Relationship Id="rId340" Type="http://schemas.openxmlformats.org/officeDocument/2006/relationships/image" Target="media/image295.jpeg"/><Relationship Id="rId34" Type="http://schemas.openxmlformats.org/officeDocument/2006/relationships/image" Target="media/image25.png"/><Relationship Id="rId339" Type="http://schemas.openxmlformats.org/officeDocument/2006/relationships/image" Target="media/image294.jpeg"/><Relationship Id="rId338" Type="http://schemas.openxmlformats.org/officeDocument/2006/relationships/image" Target="media/image293.jpeg"/><Relationship Id="rId337" Type="http://schemas.openxmlformats.org/officeDocument/2006/relationships/image" Target="media/image292.jpeg"/><Relationship Id="rId336" Type="http://schemas.openxmlformats.org/officeDocument/2006/relationships/image" Target="media/image291.jpeg"/><Relationship Id="rId335" Type="http://schemas.openxmlformats.org/officeDocument/2006/relationships/image" Target="media/image290.jpeg"/><Relationship Id="rId334" Type="http://schemas.openxmlformats.org/officeDocument/2006/relationships/image" Target="media/image289.jpeg"/><Relationship Id="rId333" Type="http://schemas.openxmlformats.org/officeDocument/2006/relationships/image" Target="media/image288.jpeg"/><Relationship Id="rId332" Type="http://schemas.openxmlformats.org/officeDocument/2006/relationships/image" Target="media/image287.jpeg"/><Relationship Id="rId331" Type="http://schemas.openxmlformats.org/officeDocument/2006/relationships/image" Target="media/image286.jpeg"/><Relationship Id="rId330" Type="http://schemas.openxmlformats.org/officeDocument/2006/relationships/image" Target="media/image285.jpeg"/><Relationship Id="rId33" Type="http://schemas.openxmlformats.org/officeDocument/2006/relationships/header" Target="header8.xml"/><Relationship Id="rId329" Type="http://schemas.openxmlformats.org/officeDocument/2006/relationships/image" Target="media/image284.jpeg"/><Relationship Id="rId328" Type="http://schemas.openxmlformats.org/officeDocument/2006/relationships/image" Target="media/image283.png"/><Relationship Id="rId327" Type="http://schemas.openxmlformats.org/officeDocument/2006/relationships/image" Target="media/image282.jpeg"/><Relationship Id="rId326" Type="http://schemas.openxmlformats.org/officeDocument/2006/relationships/image" Target="media/image281.jpeg"/><Relationship Id="rId325" Type="http://schemas.openxmlformats.org/officeDocument/2006/relationships/image" Target="media/image280.png"/><Relationship Id="rId324" Type="http://schemas.openxmlformats.org/officeDocument/2006/relationships/image" Target="media/image279.jpeg"/><Relationship Id="rId323" Type="http://schemas.openxmlformats.org/officeDocument/2006/relationships/image" Target="media/image278.jpeg"/><Relationship Id="rId322" Type="http://schemas.openxmlformats.org/officeDocument/2006/relationships/image" Target="media/image277.png"/><Relationship Id="rId321" Type="http://schemas.openxmlformats.org/officeDocument/2006/relationships/image" Target="media/image276.jpeg"/><Relationship Id="rId320" Type="http://schemas.openxmlformats.org/officeDocument/2006/relationships/image" Target="media/image275.png"/><Relationship Id="rId32" Type="http://schemas.openxmlformats.org/officeDocument/2006/relationships/image" Target="media/image23.png"/><Relationship Id="rId319" Type="http://schemas.openxmlformats.org/officeDocument/2006/relationships/image" Target="media/image274.jpeg"/><Relationship Id="rId318" Type="http://schemas.openxmlformats.org/officeDocument/2006/relationships/image" Target="media/image273.jpeg"/><Relationship Id="rId317" Type="http://schemas.openxmlformats.org/officeDocument/2006/relationships/image" Target="media/image272.jpeg"/><Relationship Id="rId316" Type="http://schemas.openxmlformats.org/officeDocument/2006/relationships/image" Target="media/image271.jpeg"/><Relationship Id="rId315" Type="http://schemas.openxmlformats.org/officeDocument/2006/relationships/image" Target="media/image270.jpeg"/><Relationship Id="rId314" Type="http://schemas.openxmlformats.org/officeDocument/2006/relationships/image" Target="media/image269.jpeg"/><Relationship Id="rId313" Type="http://schemas.openxmlformats.org/officeDocument/2006/relationships/image" Target="media/image268.jpeg"/><Relationship Id="rId312" Type="http://schemas.openxmlformats.org/officeDocument/2006/relationships/image" Target="media/image267.jpeg"/><Relationship Id="rId311" Type="http://schemas.openxmlformats.org/officeDocument/2006/relationships/image" Target="media/image266.jpeg"/><Relationship Id="rId310" Type="http://schemas.openxmlformats.org/officeDocument/2006/relationships/image" Target="media/image265.jpeg"/><Relationship Id="rId31" Type="http://schemas.openxmlformats.org/officeDocument/2006/relationships/image" Target="media/image22.png"/><Relationship Id="rId309" Type="http://schemas.openxmlformats.org/officeDocument/2006/relationships/image" Target="media/image264.png"/><Relationship Id="rId308" Type="http://schemas.openxmlformats.org/officeDocument/2006/relationships/image" Target="media/image263.png"/><Relationship Id="rId307" Type="http://schemas.openxmlformats.org/officeDocument/2006/relationships/image" Target="media/image262.jpeg"/><Relationship Id="rId306" Type="http://schemas.openxmlformats.org/officeDocument/2006/relationships/image" Target="media/image261.jpeg"/><Relationship Id="rId305" Type="http://schemas.openxmlformats.org/officeDocument/2006/relationships/image" Target="media/image260.jpeg"/><Relationship Id="rId304" Type="http://schemas.openxmlformats.org/officeDocument/2006/relationships/image" Target="media/image259.jpeg"/><Relationship Id="rId303" Type="http://schemas.openxmlformats.org/officeDocument/2006/relationships/header" Target="header72.xml"/><Relationship Id="rId302" Type="http://schemas.openxmlformats.org/officeDocument/2006/relationships/image" Target="media/image257.png"/><Relationship Id="rId301" Type="http://schemas.openxmlformats.org/officeDocument/2006/relationships/image" Target="media/image256.png"/><Relationship Id="rId300" Type="http://schemas.openxmlformats.org/officeDocument/2006/relationships/image" Target="media/image255.jpeg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9" Type="http://schemas.openxmlformats.org/officeDocument/2006/relationships/image" Target="media/image254.jpeg"/><Relationship Id="rId298" Type="http://schemas.openxmlformats.org/officeDocument/2006/relationships/image" Target="media/image253.jpeg"/><Relationship Id="rId297" Type="http://schemas.openxmlformats.org/officeDocument/2006/relationships/image" Target="media/image252.jpeg"/><Relationship Id="rId296" Type="http://schemas.openxmlformats.org/officeDocument/2006/relationships/image" Target="media/image251.jpeg"/><Relationship Id="rId295" Type="http://schemas.openxmlformats.org/officeDocument/2006/relationships/image" Target="media/image250.jpeg"/><Relationship Id="rId294" Type="http://schemas.openxmlformats.org/officeDocument/2006/relationships/image" Target="media/image249.jpeg"/><Relationship Id="rId293" Type="http://schemas.openxmlformats.org/officeDocument/2006/relationships/image" Target="media/image248.jpeg"/><Relationship Id="rId292" Type="http://schemas.openxmlformats.org/officeDocument/2006/relationships/image" Target="media/image247.jpeg"/><Relationship Id="rId291" Type="http://schemas.openxmlformats.org/officeDocument/2006/relationships/image" Target="media/image246.jpeg"/><Relationship Id="rId290" Type="http://schemas.openxmlformats.org/officeDocument/2006/relationships/header" Target="header71.xml"/><Relationship Id="rId29" Type="http://schemas.openxmlformats.org/officeDocument/2006/relationships/footer" Target="footer3.xml"/><Relationship Id="rId289" Type="http://schemas.openxmlformats.org/officeDocument/2006/relationships/image" Target="media/image245.png"/><Relationship Id="rId288" Type="http://schemas.openxmlformats.org/officeDocument/2006/relationships/image" Target="media/image244.png"/><Relationship Id="rId287" Type="http://schemas.openxmlformats.org/officeDocument/2006/relationships/image" Target="media/image243.png"/><Relationship Id="rId286" Type="http://schemas.openxmlformats.org/officeDocument/2006/relationships/image" Target="media/image242.png"/><Relationship Id="rId285" Type="http://schemas.openxmlformats.org/officeDocument/2006/relationships/image" Target="media/image241.png"/><Relationship Id="rId284" Type="http://schemas.openxmlformats.org/officeDocument/2006/relationships/image" Target="media/image240.png"/><Relationship Id="rId283" Type="http://schemas.openxmlformats.org/officeDocument/2006/relationships/image" Target="media/image239.png"/><Relationship Id="rId282" Type="http://schemas.openxmlformats.org/officeDocument/2006/relationships/image" Target="media/image238.png"/><Relationship Id="rId281" Type="http://schemas.openxmlformats.org/officeDocument/2006/relationships/image" Target="media/image237.png"/><Relationship Id="rId280" Type="http://schemas.openxmlformats.org/officeDocument/2006/relationships/image" Target="media/image236.png"/><Relationship Id="rId28" Type="http://schemas.openxmlformats.org/officeDocument/2006/relationships/header" Target="header7.xml"/><Relationship Id="rId279" Type="http://schemas.openxmlformats.org/officeDocument/2006/relationships/image" Target="media/image235.png"/><Relationship Id="rId278" Type="http://schemas.openxmlformats.org/officeDocument/2006/relationships/image" Target="media/image234.png"/><Relationship Id="rId277" Type="http://schemas.openxmlformats.org/officeDocument/2006/relationships/image" Target="media/image233.png"/><Relationship Id="rId276" Type="http://schemas.openxmlformats.org/officeDocument/2006/relationships/image" Target="media/image232.png"/><Relationship Id="rId275" Type="http://schemas.openxmlformats.org/officeDocument/2006/relationships/image" Target="media/image231.png"/><Relationship Id="rId274" Type="http://schemas.openxmlformats.org/officeDocument/2006/relationships/image" Target="media/image230.png"/><Relationship Id="rId273" Type="http://schemas.openxmlformats.org/officeDocument/2006/relationships/image" Target="media/image229.png"/><Relationship Id="rId272" Type="http://schemas.openxmlformats.org/officeDocument/2006/relationships/image" Target="media/image228.png"/><Relationship Id="rId271" Type="http://schemas.openxmlformats.org/officeDocument/2006/relationships/image" Target="media/image227.png"/><Relationship Id="rId270" Type="http://schemas.openxmlformats.org/officeDocument/2006/relationships/image" Target="media/image226.png"/><Relationship Id="rId27" Type="http://schemas.openxmlformats.org/officeDocument/2006/relationships/image" Target="media/image20.png"/><Relationship Id="rId269" Type="http://schemas.openxmlformats.org/officeDocument/2006/relationships/image" Target="media/image225.png"/><Relationship Id="rId268" Type="http://schemas.openxmlformats.org/officeDocument/2006/relationships/image" Target="media/image224.png"/><Relationship Id="rId267" Type="http://schemas.openxmlformats.org/officeDocument/2006/relationships/image" Target="media/image223.png"/><Relationship Id="rId266" Type="http://schemas.openxmlformats.org/officeDocument/2006/relationships/image" Target="media/image222.png"/><Relationship Id="rId265" Type="http://schemas.openxmlformats.org/officeDocument/2006/relationships/header" Target="header70.xml"/><Relationship Id="rId264" Type="http://schemas.openxmlformats.org/officeDocument/2006/relationships/header" Target="header69.xml"/><Relationship Id="rId263" Type="http://schemas.openxmlformats.org/officeDocument/2006/relationships/header" Target="header68.xml"/><Relationship Id="rId262" Type="http://schemas.openxmlformats.org/officeDocument/2006/relationships/image" Target="media/image219.png"/><Relationship Id="rId261" Type="http://schemas.openxmlformats.org/officeDocument/2006/relationships/image" Target="media/image218.jpeg"/><Relationship Id="rId260" Type="http://schemas.openxmlformats.org/officeDocument/2006/relationships/image" Target="media/image217.jpeg"/><Relationship Id="rId26" Type="http://schemas.openxmlformats.org/officeDocument/2006/relationships/image" Target="media/image19.png"/><Relationship Id="rId259" Type="http://schemas.openxmlformats.org/officeDocument/2006/relationships/image" Target="media/image216.jpeg"/><Relationship Id="rId258" Type="http://schemas.openxmlformats.org/officeDocument/2006/relationships/image" Target="media/image215.jpeg"/><Relationship Id="rId257" Type="http://schemas.openxmlformats.org/officeDocument/2006/relationships/image" Target="media/image214.jpeg"/><Relationship Id="rId256" Type="http://schemas.openxmlformats.org/officeDocument/2006/relationships/image" Target="media/image213.jpeg"/><Relationship Id="rId255" Type="http://schemas.openxmlformats.org/officeDocument/2006/relationships/image" Target="media/image212.jpeg"/><Relationship Id="rId254" Type="http://schemas.openxmlformats.org/officeDocument/2006/relationships/image" Target="media/image211.jpeg"/><Relationship Id="rId253" Type="http://schemas.openxmlformats.org/officeDocument/2006/relationships/image" Target="media/image210.jpeg"/><Relationship Id="rId252" Type="http://schemas.openxmlformats.org/officeDocument/2006/relationships/image" Target="media/image209.jpeg"/><Relationship Id="rId251" Type="http://schemas.openxmlformats.org/officeDocument/2006/relationships/image" Target="media/image208.jpeg"/><Relationship Id="rId250" Type="http://schemas.openxmlformats.org/officeDocument/2006/relationships/image" Target="media/image207.jpeg"/><Relationship Id="rId25" Type="http://schemas.openxmlformats.org/officeDocument/2006/relationships/image" Target="media/image18.png"/><Relationship Id="rId249" Type="http://schemas.openxmlformats.org/officeDocument/2006/relationships/header" Target="header67.xml"/><Relationship Id="rId248" Type="http://schemas.openxmlformats.org/officeDocument/2006/relationships/header" Target="header66.xml"/><Relationship Id="rId247" Type="http://schemas.openxmlformats.org/officeDocument/2006/relationships/header" Target="header65.xml"/><Relationship Id="rId246" Type="http://schemas.openxmlformats.org/officeDocument/2006/relationships/header" Target="header64.xml"/><Relationship Id="rId245" Type="http://schemas.openxmlformats.org/officeDocument/2006/relationships/header" Target="header63.xml"/><Relationship Id="rId244" Type="http://schemas.openxmlformats.org/officeDocument/2006/relationships/header" Target="header62.xml"/><Relationship Id="rId243" Type="http://schemas.openxmlformats.org/officeDocument/2006/relationships/header" Target="header61.xml"/><Relationship Id="rId242" Type="http://schemas.openxmlformats.org/officeDocument/2006/relationships/header" Target="header60.xml"/><Relationship Id="rId241" Type="http://schemas.openxmlformats.org/officeDocument/2006/relationships/header" Target="header59.xml"/><Relationship Id="rId240" Type="http://schemas.openxmlformats.org/officeDocument/2006/relationships/header" Target="header58.xml"/><Relationship Id="rId24" Type="http://schemas.openxmlformats.org/officeDocument/2006/relationships/image" Target="media/image17.png"/><Relationship Id="rId239" Type="http://schemas.openxmlformats.org/officeDocument/2006/relationships/header" Target="header57.xml"/><Relationship Id="rId238" Type="http://schemas.openxmlformats.org/officeDocument/2006/relationships/header" Target="header56.xml"/><Relationship Id="rId237" Type="http://schemas.openxmlformats.org/officeDocument/2006/relationships/header" Target="header55.xml"/><Relationship Id="rId236" Type="http://schemas.openxmlformats.org/officeDocument/2006/relationships/header" Target="header54.xml"/><Relationship Id="rId235" Type="http://schemas.openxmlformats.org/officeDocument/2006/relationships/header" Target="header53.xml"/><Relationship Id="rId234" Type="http://schemas.openxmlformats.org/officeDocument/2006/relationships/header" Target="header52.xml"/><Relationship Id="rId233" Type="http://schemas.openxmlformats.org/officeDocument/2006/relationships/header" Target="header51.xml"/><Relationship Id="rId232" Type="http://schemas.openxmlformats.org/officeDocument/2006/relationships/header" Target="header50.xml"/><Relationship Id="rId231" Type="http://schemas.openxmlformats.org/officeDocument/2006/relationships/header" Target="header49.xml"/><Relationship Id="rId230" Type="http://schemas.openxmlformats.org/officeDocument/2006/relationships/image" Target="media/image198.png"/><Relationship Id="rId23" Type="http://schemas.openxmlformats.org/officeDocument/2006/relationships/image" Target="media/image16.png"/><Relationship Id="rId229" Type="http://schemas.openxmlformats.org/officeDocument/2006/relationships/header" Target="header48.xml"/><Relationship Id="rId228" Type="http://schemas.openxmlformats.org/officeDocument/2006/relationships/image" Target="media/image196.png"/><Relationship Id="rId227" Type="http://schemas.openxmlformats.org/officeDocument/2006/relationships/image" Target="media/image195.png"/><Relationship Id="rId226" Type="http://schemas.openxmlformats.org/officeDocument/2006/relationships/image" Target="media/image194.png"/><Relationship Id="rId225" Type="http://schemas.openxmlformats.org/officeDocument/2006/relationships/header" Target="header47.xml"/><Relationship Id="rId224" Type="http://schemas.openxmlformats.org/officeDocument/2006/relationships/image" Target="media/image193.png"/><Relationship Id="rId223" Type="http://schemas.openxmlformats.org/officeDocument/2006/relationships/header" Target="header46.xml"/><Relationship Id="rId222" Type="http://schemas.openxmlformats.org/officeDocument/2006/relationships/header" Target="header45.xml"/><Relationship Id="rId221" Type="http://schemas.openxmlformats.org/officeDocument/2006/relationships/header" Target="header44.xml"/><Relationship Id="rId220" Type="http://schemas.openxmlformats.org/officeDocument/2006/relationships/image" Target="media/image190.png"/><Relationship Id="rId22" Type="http://schemas.openxmlformats.org/officeDocument/2006/relationships/image" Target="media/image15.png"/><Relationship Id="rId219" Type="http://schemas.openxmlformats.org/officeDocument/2006/relationships/image" Target="media/image189.png"/><Relationship Id="rId218" Type="http://schemas.openxmlformats.org/officeDocument/2006/relationships/image" Target="media/image188.jpeg"/><Relationship Id="rId217" Type="http://schemas.openxmlformats.org/officeDocument/2006/relationships/image" Target="media/image187.jpeg"/><Relationship Id="rId216" Type="http://schemas.openxmlformats.org/officeDocument/2006/relationships/image" Target="media/image186.jpeg"/><Relationship Id="rId215" Type="http://schemas.openxmlformats.org/officeDocument/2006/relationships/image" Target="media/image185.jpeg"/><Relationship Id="rId214" Type="http://schemas.openxmlformats.org/officeDocument/2006/relationships/image" Target="media/image184.jpeg"/><Relationship Id="rId213" Type="http://schemas.openxmlformats.org/officeDocument/2006/relationships/image" Target="media/image183.jpeg"/><Relationship Id="rId212" Type="http://schemas.openxmlformats.org/officeDocument/2006/relationships/image" Target="media/image182.png"/><Relationship Id="rId211" Type="http://schemas.openxmlformats.org/officeDocument/2006/relationships/image" Target="media/image181.jpeg"/><Relationship Id="rId210" Type="http://schemas.openxmlformats.org/officeDocument/2006/relationships/image" Target="media/image180.jpeg"/><Relationship Id="rId21" Type="http://schemas.openxmlformats.org/officeDocument/2006/relationships/image" Target="media/image14.png"/><Relationship Id="rId209" Type="http://schemas.openxmlformats.org/officeDocument/2006/relationships/image" Target="media/image179.jpeg"/><Relationship Id="rId208" Type="http://schemas.openxmlformats.org/officeDocument/2006/relationships/image" Target="media/image178.jpeg"/><Relationship Id="rId207" Type="http://schemas.openxmlformats.org/officeDocument/2006/relationships/image" Target="media/image177.jpeg"/><Relationship Id="rId206" Type="http://schemas.openxmlformats.org/officeDocument/2006/relationships/image" Target="media/image176.jpeg"/><Relationship Id="rId205" Type="http://schemas.openxmlformats.org/officeDocument/2006/relationships/image" Target="media/image175.jpeg"/><Relationship Id="rId204" Type="http://schemas.openxmlformats.org/officeDocument/2006/relationships/image" Target="media/image174.jpeg"/><Relationship Id="rId203" Type="http://schemas.openxmlformats.org/officeDocument/2006/relationships/image" Target="media/image173.jpeg"/><Relationship Id="rId202" Type="http://schemas.openxmlformats.org/officeDocument/2006/relationships/image" Target="media/image172.jpeg"/><Relationship Id="rId201" Type="http://schemas.openxmlformats.org/officeDocument/2006/relationships/image" Target="media/image171.jpeg"/><Relationship Id="rId200" Type="http://schemas.openxmlformats.org/officeDocument/2006/relationships/image" Target="media/image170.png"/><Relationship Id="rId20" Type="http://schemas.openxmlformats.org/officeDocument/2006/relationships/image" Target="media/image13.png"/><Relationship Id="rId2" Type="http://schemas.openxmlformats.org/officeDocument/2006/relationships/image" Target="media/image2.png"/><Relationship Id="rId199" Type="http://schemas.openxmlformats.org/officeDocument/2006/relationships/header" Target="header43.xml"/><Relationship Id="rId198" Type="http://schemas.openxmlformats.org/officeDocument/2006/relationships/image" Target="media/image169.png"/><Relationship Id="rId197" Type="http://schemas.openxmlformats.org/officeDocument/2006/relationships/image" Target="media/image168.png"/><Relationship Id="rId196" Type="http://schemas.openxmlformats.org/officeDocument/2006/relationships/header" Target="header42.xml"/><Relationship Id="rId195" Type="http://schemas.openxmlformats.org/officeDocument/2006/relationships/image" Target="media/image166.png"/><Relationship Id="rId194" Type="http://schemas.openxmlformats.org/officeDocument/2006/relationships/header" Target="header41.xml"/><Relationship Id="rId193" Type="http://schemas.openxmlformats.org/officeDocument/2006/relationships/header" Target="header40.xml"/><Relationship Id="rId192" Type="http://schemas.openxmlformats.org/officeDocument/2006/relationships/header" Target="header39.xml"/><Relationship Id="rId191" Type="http://schemas.openxmlformats.org/officeDocument/2006/relationships/header" Target="header38.xml"/><Relationship Id="rId190" Type="http://schemas.openxmlformats.org/officeDocument/2006/relationships/header" Target="header37.xml"/><Relationship Id="rId19" Type="http://schemas.openxmlformats.org/officeDocument/2006/relationships/image" Target="media/image12.png"/><Relationship Id="rId189" Type="http://schemas.openxmlformats.org/officeDocument/2006/relationships/header" Target="header36.xml"/><Relationship Id="rId188" Type="http://schemas.openxmlformats.org/officeDocument/2006/relationships/header" Target="header35.xml"/><Relationship Id="rId187" Type="http://schemas.openxmlformats.org/officeDocument/2006/relationships/header" Target="header34.xml"/><Relationship Id="rId186" Type="http://schemas.openxmlformats.org/officeDocument/2006/relationships/image" Target="media/image162.png"/><Relationship Id="rId185" Type="http://schemas.openxmlformats.org/officeDocument/2006/relationships/header" Target="header33.xml"/><Relationship Id="rId184" Type="http://schemas.openxmlformats.org/officeDocument/2006/relationships/image" Target="media/image161.png"/><Relationship Id="rId183" Type="http://schemas.openxmlformats.org/officeDocument/2006/relationships/image" Target="media/image160.jpeg"/><Relationship Id="rId182" Type="http://schemas.openxmlformats.org/officeDocument/2006/relationships/image" Target="media/image159.jpeg"/><Relationship Id="rId181" Type="http://schemas.openxmlformats.org/officeDocument/2006/relationships/image" Target="media/image158.jpeg"/><Relationship Id="rId180" Type="http://schemas.openxmlformats.org/officeDocument/2006/relationships/image" Target="media/image157.jpeg"/><Relationship Id="rId18" Type="http://schemas.openxmlformats.org/officeDocument/2006/relationships/image" Target="media/image11.png"/><Relationship Id="rId179" Type="http://schemas.openxmlformats.org/officeDocument/2006/relationships/image" Target="media/image156.jpeg"/><Relationship Id="rId178" Type="http://schemas.openxmlformats.org/officeDocument/2006/relationships/image" Target="media/image155.jpeg"/><Relationship Id="rId177" Type="http://schemas.openxmlformats.org/officeDocument/2006/relationships/image" Target="media/image154.jpeg"/><Relationship Id="rId176" Type="http://schemas.openxmlformats.org/officeDocument/2006/relationships/image" Target="media/image153.jpeg"/><Relationship Id="rId175" Type="http://schemas.openxmlformats.org/officeDocument/2006/relationships/image" Target="media/image152.jpeg"/><Relationship Id="rId174" Type="http://schemas.openxmlformats.org/officeDocument/2006/relationships/image" Target="media/image151.jpeg"/><Relationship Id="rId173" Type="http://schemas.openxmlformats.org/officeDocument/2006/relationships/image" Target="media/image150.jpeg"/><Relationship Id="rId172" Type="http://schemas.openxmlformats.org/officeDocument/2006/relationships/image" Target="media/image149.jpeg"/><Relationship Id="rId171" Type="http://schemas.openxmlformats.org/officeDocument/2006/relationships/image" Target="media/image148.png"/><Relationship Id="rId170" Type="http://schemas.openxmlformats.org/officeDocument/2006/relationships/image" Target="media/image147.png"/><Relationship Id="rId17" Type="http://schemas.openxmlformats.org/officeDocument/2006/relationships/image" Target="media/image10.png"/><Relationship Id="rId169" Type="http://schemas.openxmlformats.org/officeDocument/2006/relationships/image" Target="media/image146.jpeg"/><Relationship Id="rId168" Type="http://schemas.openxmlformats.org/officeDocument/2006/relationships/image" Target="media/image145.jpeg"/><Relationship Id="rId167" Type="http://schemas.openxmlformats.org/officeDocument/2006/relationships/image" Target="media/image144.jpeg"/><Relationship Id="rId166" Type="http://schemas.openxmlformats.org/officeDocument/2006/relationships/header" Target="header32.xml"/><Relationship Id="rId165" Type="http://schemas.openxmlformats.org/officeDocument/2006/relationships/image" Target="media/image142.png"/><Relationship Id="rId164" Type="http://schemas.openxmlformats.org/officeDocument/2006/relationships/image" Target="media/image141.png"/><Relationship Id="rId163" Type="http://schemas.openxmlformats.org/officeDocument/2006/relationships/image" Target="media/image140.jpeg"/><Relationship Id="rId162" Type="http://schemas.openxmlformats.org/officeDocument/2006/relationships/image" Target="media/image139.jpeg"/><Relationship Id="rId161" Type="http://schemas.openxmlformats.org/officeDocument/2006/relationships/image" Target="media/image138.jpeg"/><Relationship Id="rId160" Type="http://schemas.openxmlformats.org/officeDocument/2006/relationships/image" Target="media/image137.jpeg"/><Relationship Id="rId16" Type="http://schemas.openxmlformats.org/officeDocument/2006/relationships/footer" Target="footer2.xml"/><Relationship Id="rId159" Type="http://schemas.openxmlformats.org/officeDocument/2006/relationships/image" Target="media/image136.jpeg"/><Relationship Id="rId158" Type="http://schemas.openxmlformats.org/officeDocument/2006/relationships/image" Target="media/image135.jpeg"/><Relationship Id="rId157" Type="http://schemas.openxmlformats.org/officeDocument/2006/relationships/image" Target="media/image134.png"/><Relationship Id="rId156" Type="http://schemas.openxmlformats.org/officeDocument/2006/relationships/image" Target="media/image133.png"/><Relationship Id="rId155" Type="http://schemas.openxmlformats.org/officeDocument/2006/relationships/image" Target="media/image132.jpeg"/><Relationship Id="rId154" Type="http://schemas.openxmlformats.org/officeDocument/2006/relationships/image" Target="media/image131.jpeg"/><Relationship Id="rId153" Type="http://schemas.openxmlformats.org/officeDocument/2006/relationships/image" Target="media/image130.jpeg"/><Relationship Id="rId152" Type="http://schemas.openxmlformats.org/officeDocument/2006/relationships/image" Target="media/image129.jpeg"/><Relationship Id="rId151" Type="http://schemas.openxmlformats.org/officeDocument/2006/relationships/image" Target="media/image128.jpeg"/><Relationship Id="rId150" Type="http://schemas.openxmlformats.org/officeDocument/2006/relationships/image" Target="media/image127.jpeg"/><Relationship Id="rId15" Type="http://schemas.openxmlformats.org/officeDocument/2006/relationships/header" Target="header6.xml"/><Relationship Id="rId149" Type="http://schemas.openxmlformats.org/officeDocument/2006/relationships/image" Target="media/image126.jpeg"/><Relationship Id="rId148" Type="http://schemas.openxmlformats.org/officeDocument/2006/relationships/header" Target="header31.xml"/><Relationship Id="rId147" Type="http://schemas.openxmlformats.org/officeDocument/2006/relationships/header" Target="header30.xml"/><Relationship Id="rId146" Type="http://schemas.openxmlformats.org/officeDocument/2006/relationships/header" Target="header29.xml"/><Relationship Id="rId145" Type="http://schemas.openxmlformats.org/officeDocument/2006/relationships/image" Target="media/image124.png"/><Relationship Id="rId144" Type="http://schemas.openxmlformats.org/officeDocument/2006/relationships/image" Target="media/image123.png"/><Relationship Id="rId143" Type="http://schemas.openxmlformats.org/officeDocument/2006/relationships/header" Target="header28.xml"/><Relationship Id="rId142" Type="http://schemas.openxmlformats.org/officeDocument/2006/relationships/image" Target="media/image121.png"/><Relationship Id="rId141" Type="http://schemas.openxmlformats.org/officeDocument/2006/relationships/image" Target="media/image120.jpeg"/><Relationship Id="rId140" Type="http://schemas.openxmlformats.org/officeDocument/2006/relationships/image" Target="media/image119.jpeg"/><Relationship Id="rId14" Type="http://schemas.openxmlformats.org/officeDocument/2006/relationships/image" Target="media/image8.png"/><Relationship Id="rId139" Type="http://schemas.openxmlformats.org/officeDocument/2006/relationships/image" Target="media/image118.jpeg"/><Relationship Id="rId138" Type="http://schemas.openxmlformats.org/officeDocument/2006/relationships/image" Target="media/image117.jpeg"/><Relationship Id="rId137" Type="http://schemas.openxmlformats.org/officeDocument/2006/relationships/image" Target="media/image116.jpeg"/><Relationship Id="rId136" Type="http://schemas.openxmlformats.org/officeDocument/2006/relationships/image" Target="media/image115.jpeg"/><Relationship Id="rId135" Type="http://schemas.openxmlformats.org/officeDocument/2006/relationships/image" Target="media/image114.jpeg"/><Relationship Id="rId134" Type="http://schemas.openxmlformats.org/officeDocument/2006/relationships/image" Target="media/image113.jpeg"/><Relationship Id="rId133" Type="http://schemas.openxmlformats.org/officeDocument/2006/relationships/image" Target="media/image112.jpeg"/><Relationship Id="rId132" Type="http://schemas.openxmlformats.org/officeDocument/2006/relationships/image" Target="media/image111.jpeg"/><Relationship Id="rId131" Type="http://schemas.openxmlformats.org/officeDocument/2006/relationships/image" Target="media/image110.jpeg"/><Relationship Id="rId130" Type="http://schemas.openxmlformats.org/officeDocument/2006/relationships/header" Target="header27.xml"/><Relationship Id="rId13" Type="http://schemas.openxmlformats.org/officeDocument/2006/relationships/image" Target="media/image7.png"/><Relationship Id="rId129" Type="http://schemas.openxmlformats.org/officeDocument/2006/relationships/header" Target="header26.xml"/><Relationship Id="rId128" Type="http://schemas.openxmlformats.org/officeDocument/2006/relationships/header" Target="header25.xml"/><Relationship Id="rId127" Type="http://schemas.openxmlformats.org/officeDocument/2006/relationships/header" Target="header24.xml"/><Relationship Id="rId126" Type="http://schemas.openxmlformats.org/officeDocument/2006/relationships/header" Target="header23.xml"/><Relationship Id="rId125" Type="http://schemas.openxmlformats.org/officeDocument/2006/relationships/image" Target="media/image108.png"/><Relationship Id="rId124" Type="http://schemas.openxmlformats.org/officeDocument/2006/relationships/image" Target="media/image107.jpeg"/><Relationship Id="rId123" Type="http://schemas.openxmlformats.org/officeDocument/2006/relationships/image" Target="media/image106.jpeg"/><Relationship Id="rId122" Type="http://schemas.openxmlformats.org/officeDocument/2006/relationships/image" Target="media/image105.jpeg"/><Relationship Id="rId121" Type="http://schemas.openxmlformats.org/officeDocument/2006/relationships/image" Target="media/image104.jpeg"/><Relationship Id="rId120" Type="http://schemas.openxmlformats.org/officeDocument/2006/relationships/image" Target="media/image103.jpeg"/><Relationship Id="rId12" Type="http://schemas.openxmlformats.org/officeDocument/2006/relationships/image" Target="media/image6.png"/><Relationship Id="rId119" Type="http://schemas.openxmlformats.org/officeDocument/2006/relationships/image" Target="media/image102.jpeg"/><Relationship Id="rId118" Type="http://schemas.openxmlformats.org/officeDocument/2006/relationships/image" Target="media/image101.jpeg"/><Relationship Id="rId117" Type="http://schemas.openxmlformats.org/officeDocument/2006/relationships/image" Target="media/image100.jpeg"/><Relationship Id="rId116" Type="http://schemas.openxmlformats.org/officeDocument/2006/relationships/image" Target="media/image99.jpeg"/><Relationship Id="rId115" Type="http://schemas.openxmlformats.org/officeDocument/2006/relationships/image" Target="media/image98.jpeg"/><Relationship Id="rId114" Type="http://schemas.openxmlformats.org/officeDocument/2006/relationships/image" Target="media/image97.jpeg"/><Relationship Id="rId113" Type="http://schemas.openxmlformats.org/officeDocument/2006/relationships/image" Target="media/image96.jpeg"/><Relationship Id="rId112" Type="http://schemas.openxmlformats.org/officeDocument/2006/relationships/image" Target="media/image95.png"/><Relationship Id="rId111" Type="http://schemas.openxmlformats.org/officeDocument/2006/relationships/image" Target="media/image94.png"/><Relationship Id="rId110" Type="http://schemas.openxmlformats.org/officeDocument/2006/relationships/image" Target="media/image93.png"/><Relationship Id="rId11" Type="http://schemas.openxmlformats.org/officeDocument/2006/relationships/header" Target="header5.xml"/><Relationship Id="rId109" Type="http://schemas.openxmlformats.org/officeDocument/2006/relationships/image" Target="media/image92.png"/><Relationship Id="rId108" Type="http://schemas.openxmlformats.org/officeDocument/2006/relationships/image" Target="media/image91.png"/><Relationship Id="rId107" Type="http://schemas.openxmlformats.org/officeDocument/2006/relationships/image" Target="media/image90.png"/><Relationship Id="rId106" Type="http://schemas.openxmlformats.org/officeDocument/2006/relationships/image" Target="media/image89.png"/><Relationship Id="rId105" Type="http://schemas.openxmlformats.org/officeDocument/2006/relationships/image" Target="media/image88.png"/><Relationship Id="rId104" Type="http://schemas.openxmlformats.org/officeDocument/2006/relationships/image" Target="media/image87.png"/><Relationship Id="rId103" Type="http://schemas.openxmlformats.org/officeDocument/2006/relationships/image" Target="media/image86.png"/><Relationship Id="rId102" Type="http://schemas.openxmlformats.org/officeDocument/2006/relationships/image" Target="media/image85.png"/><Relationship Id="rId101" Type="http://schemas.openxmlformats.org/officeDocument/2006/relationships/image" Target="media/image84.png"/><Relationship Id="rId100" Type="http://schemas.openxmlformats.org/officeDocument/2006/relationships/image" Target="media/image83.jpeg"/><Relationship Id="rId10" Type="http://schemas.openxmlformats.org/officeDocument/2006/relationships/image" Target="media/image5.png"/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09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22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25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43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63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64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65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67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9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92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97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99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00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0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0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03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204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205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206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220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22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258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31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312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31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315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319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322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325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328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339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342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354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PDFium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2025-12-30T13:43:22Z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2025-12-30T13:46:05</vt:filetime>
  </property>
</Properties>
</file>